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pStyle w:val="Title"/>
        <w:spacing w:line="278" w:lineRule="auto"/>
      </w:pPr>
      <w:r>
        <w:rPr/>
        <w:t>RELATÓRIO FINAL DE AUDITORIA COORDENADA CNJ DE TI DO TRE-BA – PAAA2014</w:t>
      </w: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spacing w:before="8"/>
        <w:rPr>
          <w:b/>
          <w:sz w:val="31"/>
        </w:rPr>
      </w:pPr>
    </w:p>
    <w:p>
      <w:pPr>
        <w:pStyle w:val="Heading1"/>
        <w:ind w:left="3606" w:right="3621"/>
        <w:jc w:val="center"/>
      </w:pPr>
      <w:r>
        <w:rPr/>
        <w:t>Salvador – BA Outubro/2014</w:t>
      </w:r>
    </w:p>
    <w:p>
      <w:pPr>
        <w:spacing w:after="0"/>
        <w:jc w:val="center"/>
        <w:sectPr>
          <w:headerReference w:type="default" r:id="rId5"/>
          <w:type w:val="continuous"/>
          <w:pgSz w:w="11910" w:h="16840"/>
          <w:pgMar w:header="715" w:top="1860" w:bottom="280" w:left="1600" w:right="1580"/>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Title"/>
        <w:spacing w:line="278" w:lineRule="auto" w:before="232"/>
      </w:pPr>
      <w:r>
        <w:rPr/>
        <w:t>RELATÓRIO FINAL DE AUDITORIA COORDENADA CNJ DE TI DO TRE-BA – PAAA2014</w:t>
      </w:r>
    </w:p>
    <w:p>
      <w:pPr>
        <w:pStyle w:val="BodyText"/>
        <w:rPr>
          <w:b/>
          <w:sz w:val="30"/>
        </w:rPr>
      </w:pPr>
    </w:p>
    <w:p>
      <w:pPr>
        <w:pStyle w:val="BodyText"/>
        <w:spacing w:before="7"/>
        <w:rPr>
          <w:b/>
          <w:sz w:val="31"/>
        </w:rPr>
      </w:pPr>
    </w:p>
    <w:p>
      <w:pPr>
        <w:spacing w:line="276" w:lineRule="auto" w:before="0"/>
        <w:ind w:left="2370" w:right="111" w:firstLine="0"/>
        <w:jc w:val="both"/>
        <w:rPr>
          <w:sz w:val="22"/>
        </w:rPr>
      </w:pPr>
      <w:r>
        <w:rPr>
          <w:sz w:val="22"/>
        </w:rPr>
        <w:t>Relatório de auditoria coordenada CNJ de TI (Modelo de Contratação e Gestão de Soluções de TI) do Tribunal Regional Eleitoral da Bahia (TRE-BA), consoante previsão inserta no Plano Anual de Atividades de Auditoria 2014 (PAAA 2014), aprovado por meio da Portaria da Presidência do TRE-BA nº 933, de 6 de novembro de 2013, e em alinhamento, ainda, com o quanto disposto no Ofício do Conselho Nacional de Justiça (CNJ) nº 2/2013/SCI/Presi/CNJ, de 18 de outubro de 2013.</w:t>
      </w:r>
    </w:p>
    <w:p>
      <w:pPr>
        <w:pStyle w:val="BodyText"/>
      </w:pPr>
    </w:p>
    <w:p>
      <w:pPr>
        <w:spacing w:before="176"/>
        <w:ind w:left="2370" w:right="1904" w:firstLine="0"/>
        <w:jc w:val="left"/>
        <w:rPr>
          <w:sz w:val="22"/>
        </w:rPr>
      </w:pPr>
      <w:r>
        <w:rPr>
          <w:sz w:val="22"/>
        </w:rPr>
        <w:t>Elaboração: Seção de Auditoria (SEAUD). Auditor Interno: Ana Rejane Catunda de Carvalho</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6"/>
        </w:rPr>
      </w:pPr>
    </w:p>
    <w:p>
      <w:pPr>
        <w:pStyle w:val="Heading1"/>
        <w:spacing w:line="242" w:lineRule="auto"/>
        <w:ind w:left="3606" w:right="3621"/>
        <w:jc w:val="center"/>
      </w:pPr>
      <w:r>
        <w:rPr/>
        <w:t>Salvador – BA Outubro/2014</w:t>
      </w:r>
    </w:p>
    <w:p>
      <w:pPr>
        <w:spacing w:after="0" w:line="242" w:lineRule="auto"/>
        <w:jc w:val="center"/>
        <w:sectPr>
          <w:pgSz w:w="11910" w:h="16840"/>
          <w:pgMar w:header="715" w:footer="0" w:top="1860" w:bottom="280" w:left="1600" w:right="1580"/>
        </w:sectPr>
      </w:pPr>
    </w:p>
    <w:p>
      <w:pPr>
        <w:pStyle w:val="BodyText"/>
        <w:rPr>
          <w:b/>
          <w:sz w:val="20"/>
        </w:rPr>
      </w:pPr>
    </w:p>
    <w:p>
      <w:pPr>
        <w:pStyle w:val="BodyText"/>
        <w:rPr>
          <w:b/>
          <w:sz w:val="20"/>
        </w:rPr>
      </w:pPr>
    </w:p>
    <w:p>
      <w:pPr>
        <w:pStyle w:val="BodyText"/>
        <w:rPr>
          <w:b/>
          <w:sz w:val="16"/>
        </w:rPr>
      </w:pPr>
    </w:p>
    <w:p>
      <w:pPr>
        <w:spacing w:before="90"/>
        <w:ind w:left="171" w:right="187" w:firstLine="0"/>
        <w:jc w:val="center"/>
        <w:rPr>
          <w:b/>
          <w:sz w:val="24"/>
        </w:rPr>
      </w:pPr>
      <w:r>
        <w:rPr>
          <w:b/>
          <w:sz w:val="24"/>
        </w:rPr>
        <w:t>RESUMO</w:t>
      </w:r>
    </w:p>
    <w:p>
      <w:pPr>
        <w:pStyle w:val="BodyText"/>
        <w:spacing w:before="233"/>
        <w:ind w:left="102" w:right="117"/>
        <w:jc w:val="both"/>
      </w:pPr>
      <w:r>
        <w:rPr/>
        <w:t>A Secretaria de Controle Interno e Auditoria (SCI), por intermédio da Seção de Auditoria (SEAUD), vinculada à Coordenadoria de Auditoria, Acompanhamento e Orientação da Gestão (COGES), realizou, no período compreendido entre 3 e 30 de setembro do ano em curso, auditoria coordenada de TI com o objetivo de avaliar a conformidade da gestão e contratações de solução de tecnologia da informação, em face das diretrizes estabelecidas pela Resolução CNJ nº 182, de 17 de outubro de 2013.</w:t>
      </w:r>
    </w:p>
    <w:p>
      <w:pPr>
        <w:pStyle w:val="BodyText"/>
        <w:spacing w:before="120"/>
        <w:ind w:left="102" w:right="117"/>
        <w:jc w:val="both"/>
      </w:pPr>
      <w:r>
        <w:rPr/>
        <w:t>O referido procedimento investigativo decorre de previsão constante do Plano Anual de Atividades de Auditoria 2014 (PAAA2014), aprovado por meio da Portaria da Presidência do TRE-BA nº 933, de 6 de novembro de 2013, e constituiu objeto do Comunicado de Auditoria nº 8/2014/SCI. Alinha-se, ainda, com o quanto requerido pelo Conselho Nacional de Justiça (CNJ) no ofício nº 2/SCI/Presi/CNJ, de 18 de outubro de 2013.</w:t>
      </w:r>
    </w:p>
    <w:p>
      <w:pPr>
        <w:pStyle w:val="BodyText"/>
        <w:spacing w:before="120"/>
        <w:ind w:left="102" w:right="122"/>
        <w:jc w:val="both"/>
      </w:pPr>
      <w:r>
        <w:rPr/>
        <w:t>Paralelamente às disposições constantes da Resolução CNJ nº 171, de 1º de março de 2013, e das normas de auditoria do Tribunal de Contas da União (TCU), para condução e fundamentação dos trabalhos, utilizou-se o referencial teórico consubstanciado na Resolução CNJ nº</w:t>
      </w:r>
      <w:r>
        <w:rPr>
          <w:spacing w:val="1"/>
        </w:rPr>
        <w:t> </w:t>
      </w:r>
      <w:r>
        <w:rPr/>
        <w:t>182/2013.</w:t>
      </w:r>
    </w:p>
    <w:p>
      <w:pPr>
        <w:pStyle w:val="BodyText"/>
        <w:spacing w:before="121"/>
        <w:ind w:left="102" w:right="115"/>
        <w:jc w:val="both"/>
      </w:pPr>
      <w:r>
        <w:rPr/>
        <w:t>Os pontos de auditoria e o modelo de programa de auditoria foram disponibilizados nas áreas temáticas do portal do CNJ e foram utilizados para o desenvolvimento dos trabalhos.</w:t>
      </w:r>
    </w:p>
    <w:p>
      <w:pPr>
        <w:pStyle w:val="BodyText"/>
        <w:spacing w:before="120"/>
        <w:ind w:left="102" w:right="115"/>
        <w:jc w:val="both"/>
      </w:pPr>
      <w:r>
        <w:rPr/>
        <w:t>Tendo em vista que este Tribunal possui Plano de Contratações de Soluções de TI para o exercício 2014, aprovado em 10/12/2013, por meio do expediente de </w:t>
      </w:r>
      <w:r>
        <w:rPr>
          <w:spacing w:val="2"/>
        </w:rPr>
        <w:t>nº </w:t>
      </w:r>
      <w:r>
        <w:rPr/>
        <w:t>88.132/2013, para responder os pontos de auditoria a avaliação contemplou a análise do Plano de Contratações de Soluções de TI para o exercício 2014, bem como o exame de dois Termos de Referência relativos às contratações insertas no referido plano, cuja seleção baseou-se no critério de materialidade – significância do valor dispendido na contratação – e na verificação da tramitação do expediente, restando selecionados os expedientes nº</w:t>
      </w:r>
      <w:r>
        <w:rPr>
          <w:vertAlign w:val="superscript"/>
        </w:rPr>
        <w:t>s</w:t>
      </w:r>
      <w:r>
        <w:rPr>
          <w:vertAlign w:val="baseline"/>
        </w:rPr>
        <w:t> 13.354/2014 e</w:t>
      </w:r>
      <w:r>
        <w:rPr>
          <w:spacing w:val="-2"/>
          <w:vertAlign w:val="baseline"/>
        </w:rPr>
        <w:t> </w:t>
      </w:r>
      <w:r>
        <w:rPr>
          <w:vertAlign w:val="baseline"/>
        </w:rPr>
        <w:t>10.855/2014.</w:t>
      </w:r>
    </w:p>
    <w:p>
      <w:pPr>
        <w:pStyle w:val="BodyText"/>
        <w:spacing w:before="121"/>
        <w:ind w:left="102" w:right="115"/>
        <w:jc w:val="both"/>
      </w:pPr>
      <w:r>
        <w:rPr/>
        <w:t>Assim, a auditoria sob comento objetivou verificar se este Tribunal observou as diretrizes estabelecidas no dispositivo legal aplicável (Resolução nº 182/2013), com enfoque nos seguintes aspectos: planejamento da contratação, análise de viabilidade da contratação, sustentação do contrato, estratégia para a contratação e análise de riscos.</w:t>
      </w:r>
    </w:p>
    <w:p>
      <w:pPr>
        <w:pStyle w:val="BodyText"/>
        <w:spacing w:before="10"/>
        <w:rPr>
          <w:sz w:val="20"/>
        </w:rPr>
      </w:pPr>
    </w:p>
    <w:p>
      <w:pPr>
        <w:pStyle w:val="BodyText"/>
        <w:ind w:left="102" w:right="116"/>
        <w:jc w:val="both"/>
      </w:pPr>
      <w:r>
        <w:rPr/>
        <w:t>Ultimados os procedimentos e análises elencados na matriz de planejamento elaborada pelo CNJ, restaram evidenciadas, dentre outras situações desconformes com os critérios considerados: ausência de formalização de estudos técnicos preliminares; ausência de fixação de prazo para de estudos técnicos preliminares; inexistência de equipe de planejamento de contratação; ausência de revisão e atualização do plano de contratações; inobservância à legislação de regência, no que tange à elaboração de documentos necessários a instrução das contratações de Solução de TI e Termos de Referência.</w:t>
      </w:r>
    </w:p>
    <w:p>
      <w:pPr>
        <w:pStyle w:val="BodyText"/>
        <w:spacing w:before="120"/>
        <w:ind w:left="102" w:right="118"/>
        <w:jc w:val="both"/>
      </w:pPr>
      <w:r>
        <w:rPr/>
        <w:t>Nesse </w:t>
      </w:r>
      <w:r>
        <w:rPr>
          <w:spacing w:val="-3"/>
        </w:rPr>
        <w:t>sentido, </w:t>
      </w:r>
      <w:r>
        <w:rPr/>
        <w:t>as </w:t>
      </w:r>
      <w:r>
        <w:rPr>
          <w:spacing w:val="-3"/>
        </w:rPr>
        <w:t>propostas </w:t>
      </w:r>
      <w:r>
        <w:rPr/>
        <w:t>de </w:t>
      </w:r>
      <w:r>
        <w:rPr>
          <w:spacing w:val="-3"/>
        </w:rPr>
        <w:t>encaminhamento formuladas, além </w:t>
      </w:r>
      <w:r>
        <w:rPr/>
        <w:t>de </w:t>
      </w:r>
      <w:r>
        <w:rPr>
          <w:spacing w:val="-3"/>
        </w:rPr>
        <w:t>objetivarem </w:t>
      </w:r>
      <w:r>
        <w:rPr/>
        <w:t>o </w:t>
      </w:r>
      <w:r>
        <w:rPr>
          <w:spacing w:val="-3"/>
        </w:rPr>
        <w:t>saneamento das fragilidades detectadas, especialmente daquelas </w:t>
      </w:r>
      <w:r>
        <w:rPr/>
        <w:t>acima </w:t>
      </w:r>
      <w:r>
        <w:rPr>
          <w:spacing w:val="-3"/>
        </w:rPr>
        <w:t>reportadas, </w:t>
      </w:r>
      <w:r>
        <w:rPr/>
        <w:t>visam</w:t>
      </w:r>
    </w:p>
    <w:p>
      <w:pPr>
        <w:spacing w:after="0"/>
        <w:jc w:val="both"/>
        <w:sectPr>
          <w:pgSz w:w="11910" w:h="16840"/>
          <w:pgMar w:header="715" w:footer="0" w:top="1860" w:bottom="280" w:left="1600" w:right="1580"/>
        </w:sectPr>
      </w:pPr>
    </w:p>
    <w:p>
      <w:pPr>
        <w:pStyle w:val="BodyText"/>
        <w:spacing w:before="3"/>
        <w:rPr>
          <w:sz w:val="10"/>
        </w:rPr>
      </w:pPr>
    </w:p>
    <w:p>
      <w:pPr>
        <w:pStyle w:val="BodyText"/>
        <w:spacing w:before="90"/>
        <w:ind w:left="102" w:right="114"/>
        <w:jc w:val="both"/>
      </w:pPr>
      <w:r>
        <w:rPr>
          <w:spacing w:val="-3"/>
        </w:rPr>
        <w:t>assegurar </w:t>
      </w:r>
      <w:r>
        <w:rPr/>
        <w:t>a </w:t>
      </w:r>
      <w:r>
        <w:rPr>
          <w:spacing w:val="-3"/>
        </w:rPr>
        <w:t>continuidade </w:t>
      </w:r>
      <w:r>
        <w:rPr/>
        <w:t>do </w:t>
      </w:r>
      <w:r>
        <w:rPr>
          <w:spacing w:val="-3"/>
        </w:rPr>
        <w:t>processo </w:t>
      </w:r>
      <w:r>
        <w:rPr/>
        <w:t>de </w:t>
      </w:r>
      <w:r>
        <w:rPr>
          <w:spacing w:val="-3"/>
        </w:rPr>
        <w:t>implementação das diretrizes </w:t>
      </w:r>
      <w:r>
        <w:rPr/>
        <w:t>de </w:t>
      </w:r>
      <w:r>
        <w:rPr>
          <w:spacing w:val="-3"/>
        </w:rPr>
        <w:t>contratação </w:t>
      </w:r>
      <w:r>
        <w:rPr/>
        <w:t>de </w:t>
      </w:r>
      <w:r>
        <w:rPr>
          <w:spacing w:val="-3"/>
        </w:rPr>
        <w:t>Solução </w:t>
      </w:r>
      <w:r>
        <w:rPr/>
        <w:t>de </w:t>
      </w:r>
      <w:r>
        <w:rPr>
          <w:spacing w:val="-3"/>
        </w:rPr>
        <w:t>Tecnologia </w:t>
      </w:r>
      <w:r>
        <w:rPr/>
        <w:t>da </w:t>
      </w:r>
      <w:r>
        <w:rPr>
          <w:spacing w:val="-3"/>
        </w:rPr>
        <w:t>Informação </w:t>
      </w:r>
      <w:r>
        <w:rPr/>
        <w:t>e Comunicação </w:t>
      </w:r>
      <w:r>
        <w:rPr>
          <w:spacing w:val="-3"/>
        </w:rPr>
        <w:t>(STIC), estabelecidas pelo </w:t>
      </w:r>
      <w:r>
        <w:rPr/>
        <w:t>CNJ, no </w:t>
      </w:r>
      <w:r>
        <w:rPr>
          <w:spacing w:val="-3"/>
        </w:rPr>
        <w:t>âmbito </w:t>
      </w:r>
      <w:r>
        <w:rPr/>
        <w:t>deste Regional. </w:t>
      </w:r>
      <w:r>
        <w:rPr>
          <w:spacing w:val="-3"/>
        </w:rPr>
        <w:t>Para </w:t>
      </w:r>
      <w:r>
        <w:rPr/>
        <w:t>tanto, </w:t>
      </w:r>
      <w:r>
        <w:rPr>
          <w:spacing w:val="-3"/>
        </w:rPr>
        <w:t>recomendou-se </w:t>
      </w:r>
      <w:r>
        <w:rPr/>
        <w:t>a </w:t>
      </w:r>
      <w:r>
        <w:rPr>
          <w:spacing w:val="-3"/>
        </w:rPr>
        <w:t>formalização </w:t>
      </w:r>
      <w:r>
        <w:rPr/>
        <w:t>dos </w:t>
      </w:r>
      <w:r>
        <w:rPr>
          <w:spacing w:val="-3"/>
        </w:rPr>
        <w:t>estudos preliminares </w:t>
      </w:r>
      <w:r>
        <w:rPr/>
        <w:t>à </w:t>
      </w:r>
      <w:r>
        <w:rPr>
          <w:spacing w:val="-3"/>
        </w:rPr>
        <w:t>contratação; </w:t>
      </w:r>
      <w:r>
        <w:rPr/>
        <w:t>a </w:t>
      </w:r>
      <w:r>
        <w:rPr>
          <w:spacing w:val="-3"/>
        </w:rPr>
        <w:t>designação </w:t>
      </w:r>
      <w:r>
        <w:rPr/>
        <w:t>de equipe de </w:t>
      </w:r>
      <w:r>
        <w:rPr>
          <w:spacing w:val="-3"/>
        </w:rPr>
        <w:t>planejamento </w:t>
      </w:r>
      <w:r>
        <w:rPr/>
        <w:t>das </w:t>
      </w:r>
      <w:r>
        <w:rPr>
          <w:spacing w:val="-3"/>
        </w:rPr>
        <w:t>contratações; </w:t>
      </w:r>
      <w:r>
        <w:rPr/>
        <w:t>a </w:t>
      </w:r>
      <w:r>
        <w:rPr>
          <w:spacing w:val="-3"/>
        </w:rPr>
        <w:t>revisão </w:t>
      </w:r>
      <w:r>
        <w:rPr/>
        <w:t>e </w:t>
      </w:r>
      <w:r>
        <w:rPr>
          <w:spacing w:val="-3"/>
        </w:rPr>
        <w:t>atualização </w:t>
      </w:r>
      <w:r>
        <w:rPr/>
        <w:t>do </w:t>
      </w:r>
      <w:r>
        <w:rPr>
          <w:spacing w:val="-3"/>
        </w:rPr>
        <w:t>plano </w:t>
      </w:r>
      <w:r>
        <w:rPr/>
        <w:t>de </w:t>
      </w:r>
      <w:r>
        <w:rPr>
          <w:spacing w:val="-3"/>
        </w:rPr>
        <w:t>contratações, </w:t>
      </w:r>
      <w:r>
        <w:rPr/>
        <w:t>de modo a compatibilizá-lo com a </w:t>
      </w:r>
      <w:r>
        <w:rPr>
          <w:spacing w:val="-3"/>
        </w:rPr>
        <w:t>Proposta Orçamentária </w:t>
      </w:r>
      <w:r>
        <w:rPr/>
        <w:t>do </w:t>
      </w:r>
      <w:r>
        <w:rPr>
          <w:spacing w:val="-3"/>
        </w:rPr>
        <w:t>Órgão; </w:t>
      </w:r>
      <w:r>
        <w:rPr/>
        <w:t>a normatização dos </w:t>
      </w:r>
      <w:r>
        <w:rPr>
          <w:spacing w:val="-3"/>
        </w:rPr>
        <w:t>procedimentos necessários </w:t>
      </w:r>
      <w:r>
        <w:rPr/>
        <w:t>para </w:t>
      </w:r>
      <w:r>
        <w:rPr>
          <w:spacing w:val="-3"/>
        </w:rPr>
        <w:t>implantação das </w:t>
      </w:r>
      <w:r>
        <w:rPr/>
        <w:t>diretrizes de STIC e a elaboração de </w:t>
      </w:r>
      <w:r>
        <w:rPr>
          <w:spacing w:val="-3"/>
        </w:rPr>
        <w:t>modelo </w:t>
      </w:r>
      <w:r>
        <w:rPr/>
        <w:t>de Termo de </w:t>
      </w:r>
      <w:r>
        <w:rPr>
          <w:spacing w:val="-3"/>
        </w:rPr>
        <w:t>Referência padronizados afetos </w:t>
      </w:r>
      <w:r>
        <w:rPr/>
        <w:t>à </w:t>
      </w:r>
      <w:r>
        <w:rPr>
          <w:spacing w:val="-3"/>
        </w:rPr>
        <w:t>contratação </w:t>
      </w:r>
      <w:r>
        <w:rPr/>
        <w:t>de STIC, </w:t>
      </w:r>
      <w:r>
        <w:rPr>
          <w:spacing w:val="-3"/>
        </w:rPr>
        <w:t>contemplando </w:t>
      </w:r>
      <w:r>
        <w:rPr/>
        <w:t>os elementos mínimos </w:t>
      </w:r>
      <w:r>
        <w:rPr>
          <w:spacing w:val="-3"/>
        </w:rPr>
        <w:t>previstos</w:t>
      </w:r>
      <w:r>
        <w:rPr>
          <w:spacing w:val="-6"/>
        </w:rPr>
        <w:t> </w:t>
      </w:r>
      <w:r>
        <w:rPr/>
        <w:t>no</w:t>
      </w:r>
      <w:r>
        <w:rPr>
          <w:spacing w:val="-5"/>
        </w:rPr>
        <w:t> </w:t>
      </w:r>
      <w:r>
        <w:rPr/>
        <w:t>§</w:t>
      </w:r>
      <w:r>
        <w:rPr>
          <w:spacing w:val="-3"/>
        </w:rPr>
        <w:t> </w:t>
      </w:r>
      <w:r>
        <w:rPr/>
        <w:t>3º</w:t>
      </w:r>
      <w:r>
        <w:rPr>
          <w:spacing w:val="-5"/>
        </w:rPr>
        <w:t> </w:t>
      </w:r>
      <w:r>
        <w:rPr/>
        <w:t>do</w:t>
      </w:r>
      <w:r>
        <w:rPr>
          <w:spacing w:val="-3"/>
        </w:rPr>
        <w:t> </w:t>
      </w:r>
      <w:r>
        <w:rPr/>
        <w:t>art.</w:t>
      </w:r>
      <w:r>
        <w:rPr>
          <w:spacing w:val="-5"/>
        </w:rPr>
        <w:t> </w:t>
      </w:r>
      <w:r>
        <w:rPr/>
        <w:t>18</w:t>
      </w:r>
      <w:r>
        <w:rPr>
          <w:spacing w:val="-5"/>
        </w:rPr>
        <w:t> </w:t>
      </w:r>
      <w:r>
        <w:rPr/>
        <w:t>da</w:t>
      </w:r>
      <w:r>
        <w:rPr>
          <w:spacing w:val="-6"/>
        </w:rPr>
        <w:t> </w:t>
      </w:r>
      <w:r>
        <w:rPr>
          <w:spacing w:val="-3"/>
        </w:rPr>
        <w:t>Resolução</w:t>
      </w:r>
      <w:r>
        <w:rPr>
          <w:spacing w:val="-5"/>
        </w:rPr>
        <w:t> </w:t>
      </w:r>
      <w:r>
        <w:rPr/>
        <w:t>CNJ</w:t>
      </w:r>
      <w:r>
        <w:rPr>
          <w:spacing w:val="-3"/>
        </w:rPr>
        <w:t> </w:t>
      </w:r>
      <w:r>
        <w:rPr/>
        <w:t>nº</w:t>
      </w:r>
      <w:r>
        <w:rPr>
          <w:spacing w:val="-5"/>
        </w:rPr>
        <w:t> </w:t>
      </w:r>
      <w:r>
        <w:rPr>
          <w:spacing w:val="-3"/>
        </w:rPr>
        <w:t>182/2013.</w:t>
      </w:r>
    </w:p>
    <w:p>
      <w:pPr>
        <w:pStyle w:val="BodyText"/>
        <w:spacing w:before="121"/>
        <w:ind w:left="102" w:right="117"/>
        <w:jc w:val="both"/>
      </w:pPr>
      <w:r>
        <w:rPr/>
        <w:t>Espera-se que o presente diagnóstico acerca das contratações de soluções de TI, tenha atendido ao quanto determinado pelo CNJ, bem como possa auxiliar a Alta Gestão do TRE-BA na solidificação de conhecimentos acerca da matéria e na tomada de decisões, notadamente quanto à adoção de medidas destinadas a aperfeiçoar o planejamento, execução e fiscalização das referidas contratações institucionais.</w:t>
      </w:r>
    </w:p>
    <w:p>
      <w:pPr>
        <w:spacing w:after="0"/>
        <w:jc w:val="both"/>
        <w:sectPr>
          <w:pgSz w:w="11910" w:h="16840"/>
          <w:pgMar w:header="715" w:footer="0" w:top="1860" w:bottom="280" w:left="1600" w:right="15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1"/>
        </w:rPr>
      </w:pPr>
    </w:p>
    <w:p>
      <w:pPr>
        <w:pStyle w:val="Heading1"/>
        <w:spacing w:before="1"/>
        <w:ind w:left="102"/>
      </w:pPr>
      <w:r>
        <w:rPr/>
        <w:t>SUMÁRIO</w:t>
      </w:r>
    </w:p>
    <w:sdt>
      <w:sdtPr>
        <w:docPartObj>
          <w:docPartGallery w:val="Table of Contents"/>
          <w:docPartUnique/>
        </w:docPartObj>
      </w:sdtPr>
      <w:sdtEndPr/>
      <w:sdtContent>
        <w:p>
          <w:pPr>
            <w:pStyle w:val="TOC1"/>
            <w:numPr>
              <w:ilvl w:val="0"/>
              <w:numId w:val="1"/>
            </w:numPr>
            <w:tabs>
              <w:tab w:pos="541" w:val="left" w:leader="none"/>
              <w:tab w:pos="542" w:val="left" w:leader="none"/>
              <w:tab w:pos="8477" w:val="left" w:leader="dot"/>
            </w:tabs>
            <w:spacing w:line="240" w:lineRule="auto" w:before="544" w:after="0"/>
            <w:ind w:left="541" w:right="0" w:hanging="440"/>
            <w:jc w:val="left"/>
          </w:pPr>
          <w:hyperlink w:history="true" w:anchor="_bookmark0">
            <w:r>
              <w:rPr/>
              <w:t>INTRODUÇÃO</w:t>
              <w:tab/>
              <w:t>6</w:t>
            </w:r>
          </w:hyperlink>
        </w:p>
        <w:p>
          <w:pPr>
            <w:pStyle w:val="TOC1"/>
            <w:numPr>
              <w:ilvl w:val="0"/>
              <w:numId w:val="1"/>
            </w:numPr>
            <w:tabs>
              <w:tab w:pos="541" w:val="left" w:leader="none"/>
              <w:tab w:pos="542" w:val="left" w:leader="none"/>
              <w:tab w:pos="8477" w:val="left" w:leader="dot"/>
            </w:tabs>
            <w:spacing w:line="240" w:lineRule="auto" w:before="161" w:after="0"/>
            <w:ind w:left="541" w:right="0" w:hanging="440"/>
            <w:jc w:val="left"/>
          </w:pPr>
          <w:hyperlink w:history="true" w:anchor="_bookmark1">
            <w:r>
              <w:rPr/>
              <w:t>ANÁLISE DAS FONTES</w:t>
            </w:r>
            <w:r>
              <w:rPr>
                <w:spacing w:val="-6"/>
              </w:rPr>
              <w:t> </w:t>
            </w:r>
            <w:r>
              <w:rPr/>
              <w:t>DE</w:t>
            </w:r>
            <w:r>
              <w:rPr>
                <w:spacing w:val="-1"/>
              </w:rPr>
              <w:t> </w:t>
            </w:r>
            <w:r>
              <w:rPr/>
              <w:t>INFORMAÇÃO</w:t>
              <w:tab/>
              <w:t>9</w:t>
            </w:r>
          </w:hyperlink>
        </w:p>
        <w:p>
          <w:pPr>
            <w:pStyle w:val="TOC2"/>
            <w:numPr>
              <w:ilvl w:val="1"/>
              <w:numId w:val="1"/>
            </w:numPr>
            <w:tabs>
              <w:tab w:pos="462" w:val="left" w:leader="none"/>
              <w:tab w:pos="8469" w:val="left" w:leader="dot"/>
            </w:tabs>
            <w:spacing w:line="240" w:lineRule="auto" w:before="282" w:after="0"/>
            <w:ind w:left="462" w:right="0" w:hanging="360"/>
            <w:jc w:val="left"/>
            <w:rPr>
              <w:i w:val="0"/>
            </w:rPr>
          </w:pPr>
          <w:r>
            <w:rPr>
              <w:i/>
            </w:rPr>
            <w:t>Expediente nº 88.132/2013, referente ao Plano</w:t>
          </w:r>
          <w:r>
            <w:rPr>
              <w:i/>
              <w:spacing w:val="-4"/>
            </w:rPr>
            <w:t> </w:t>
          </w:r>
          <w:r>
            <w:rPr>
              <w:i/>
            </w:rPr>
            <w:t>de</w:t>
          </w:r>
          <w:r>
            <w:rPr>
              <w:i/>
              <w:spacing w:val="-2"/>
            </w:rPr>
            <w:t> </w:t>
          </w:r>
          <w:r>
            <w:rPr>
              <w:i/>
            </w:rPr>
            <w:t>Contratações</w:t>
            <w:tab/>
          </w:r>
          <w:r>
            <w:rPr>
              <w:i w:val="0"/>
            </w:rPr>
            <w:t>9</w:t>
          </w:r>
        </w:p>
        <w:p>
          <w:pPr>
            <w:pStyle w:val="TOC2"/>
            <w:numPr>
              <w:ilvl w:val="1"/>
              <w:numId w:val="1"/>
            </w:numPr>
            <w:tabs>
              <w:tab w:pos="463" w:val="left" w:leader="none"/>
              <w:tab w:pos="8469" w:val="left" w:leader="dot"/>
            </w:tabs>
            <w:spacing w:line="240" w:lineRule="auto" w:before="240" w:after="0"/>
            <w:ind w:left="462" w:right="0" w:hanging="361"/>
            <w:jc w:val="left"/>
            <w:rPr>
              <w:i w:val="0"/>
            </w:rPr>
          </w:pPr>
          <w:r>
            <w:rPr>
              <w:i/>
            </w:rPr>
            <w:t>Proposta Orçamentária referente ao</w:t>
          </w:r>
          <w:r>
            <w:rPr>
              <w:i/>
              <w:spacing w:val="-5"/>
            </w:rPr>
            <w:t> </w:t>
          </w:r>
          <w:r>
            <w:rPr>
              <w:i/>
            </w:rPr>
            <w:t>exercício</w:t>
          </w:r>
          <w:r>
            <w:rPr>
              <w:i/>
              <w:spacing w:val="1"/>
            </w:rPr>
            <w:t> </w:t>
          </w:r>
          <w:r>
            <w:rPr>
              <w:i/>
            </w:rPr>
            <w:t>2014</w:t>
            <w:tab/>
          </w:r>
          <w:r>
            <w:rPr>
              <w:i w:val="0"/>
            </w:rPr>
            <w:t>9</w:t>
          </w:r>
        </w:p>
        <w:p>
          <w:pPr>
            <w:pStyle w:val="TOC2"/>
            <w:numPr>
              <w:ilvl w:val="1"/>
              <w:numId w:val="1"/>
            </w:numPr>
            <w:tabs>
              <w:tab w:pos="431" w:val="left" w:leader="none"/>
              <w:tab w:pos="8364" w:val="left" w:leader="dot"/>
            </w:tabs>
            <w:spacing w:line="240" w:lineRule="auto" w:before="237" w:after="0"/>
            <w:ind w:left="102" w:right="117" w:firstLine="0"/>
            <w:jc w:val="left"/>
            <w:rPr>
              <w:i w:val="0"/>
            </w:rPr>
          </w:pPr>
          <w:r>
            <w:rPr>
              <w:i/>
            </w:rPr>
            <w:t>Manifestação da STI em atendimento às Requisições de Documentos ou Informações </w:t>
          </w:r>
          <w:r>
            <w:rPr/>
            <w:t>(RDIs)</w:t>
            <w:tab/>
          </w:r>
          <w:r>
            <w:rPr>
              <w:i w:val="0"/>
              <w:spacing w:val="-8"/>
            </w:rPr>
            <w:t>11</w:t>
          </w:r>
        </w:p>
        <w:p>
          <w:pPr>
            <w:pStyle w:val="TOC2"/>
            <w:numPr>
              <w:ilvl w:val="1"/>
              <w:numId w:val="1"/>
            </w:numPr>
            <w:tabs>
              <w:tab w:pos="414" w:val="left" w:leader="none"/>
              <w:tab w:pos="8342" w:val="left" w:leader="dot"/>
            </w:tabs>
            <w:spacing w:line="240" w:lineRule="auto" w:before="240" w:after="0"/>
            <w:ind w:left="102" w:right="119" w:firstLine="0"/>
            <w:jc w:val="left"/>
            <w:rPr>
              <w:i w:val="0"/>
            </w:rPr>
          </w:pPr>
          <w:r>
            <w:rPr>
              <w:i/>
            </w:rPr>
            <w:t>Planejamento Estratégico Institucional (PEI) do TRE-BA 2012-2014 e Planejamento </w:t>
          </w:r>
          <w:r>
            <w:rPr/>
            <w:t>Estratégico de Tecnologia da</w:t>
          </w:r>
          <w:r>
            <w:rPr>
              <w:spacing w:val="-5"/>
            </w:rPr>
            <w:t> </w:t>
          </w:r>
          <w:r>
            <w:rPr/>
            <w:t>Informação</w:t>
          </w:r>
          <w:r>
            <w:rPr>
              <w:spacing w:val="1"/>
            </w:rPr>
            <w:t> </w:t>
          </w:r>
          <w:r>
            <w:rPr/>
            <w:t>(PETI)</w:t>
            <w:tab/>
          </w:r>
          <w:r>
            <w:rPr>
              <w:i w:val="0"/>
            </w:rPr>
            <w:t>11</w:t>
          </w:r>
        </w:p>
        <w:p>
          <w:pPr>
            <w:pStyle w:val="TOC2"/>
            <w:numPr>
              <w:ilvl w:val="1"/>
              <w:numId w:val="1"/>
            </w:numPr>
            <w:tabs>
              <w:tab w:pos="462" w:val="left" w:leader="none"/>
              <w:tab w:pos="8364" w:val="left" w:leader="dot"/>
            </w:tabs>
            <w:spacing w:line="240" w:lineRule="auto" w:before="240" w:after="0"/>
            <w:ind w:left="462" w:right="0" w:hanging="360"/>
            <w:jc w:val="left"/>
            <w:rPr>
              <w:i w:val="0"/>
            </w:rPr>
          </w:pPr>
          <w:r>
            <w:rPr>
              <w:i/>
            </w:rPr>
            <w:t>Papéis de Trabalho elaborados</w:t>
          </w:r>
          <w:r>
            <w:rPr>
              <w:i/>
              <w:spacing w:val="-2"/>
            </w:rPr>
            <w:t> </w:t>
          </w:r>
          <w:r>
            <w:rPr>
              <w:i/>
            </w:rPr>
            <w:t>pela auditoria</w:t>
            <w:tab/>
          </w:r>
          <w:r>
            <w:rPr>
              <w:i w:val="0"/>
            </w:rPr>
            <w:t>12</w:t>
          </w:r>
        </w:p>
        <w:p>
          <w:pPr>
            <w:pStyle w:val="TOC1"/>
            <w:numPr>
              <w:ilvl w:val="0"/>
              <w:numId w:val="1"/>
            </w:numPr>
            <w:tabs>
              <w:tab w:pos="541" w:val="left" w:leader="none"/>
              <w:tab w:pos="542" w:val="left" w:leader="none"/>
              <w:tab w:pos="8357" w:val="left" w:leader="dot"/>
            </w:tabs>
            <w:spacing w:line="240" w:lineRule="auto" w:before="123" w:after="0"/>
            <w:ind w:left="541" w:right="0" w:hanging="440"/>
            <w:jc w:val="left"/>
          </w:pPr>
          <w:hyperlink w:history="true" w:anchor="_bookmark2">
            <w:r>
              <w:rPr/>
              <w:t>ACHADOS</w:t>
            </w:r>
            <w:r>
              <w:rPr>
                <w:spacing w:val="-2"/>
              </w:rPr>
              <w:t> </w:t>
            </w:r>
            <w:r>
              <w:rPr/>
              <w:t>DE</w:t>
            </w:r>
            <w:r>
              <w:rPr>
                <w:spacing w:val="-2"/>
              </w:rPr>
              <w:t> </w:t>
            </w:r>
            <w:r>
              <w:rPr/>
              <w:t>AUDITORIA</w:t>
              <w:tab/>
              <w:t>12</w:t>
            </w:r>
          </w:hyperlink>
        </w:p>
        <w:p>
          <w:pPr>
            <w:pStyle w:val="TOC1"/>
            <w:numPr>
              <w:ilvl w:val="0"/>
              <w:numId w:val="1"/>
            </w:numPr>
            <w:tabs>
              <w:tab w:pos="541" w:val="left" w:leader="none"/>
              <w:tab w:pos="542" w:val="left" w:leader="none"/>
              <w:tab w:pos="8357" w:val="left" w:leader="dot"/>
            </w:tabs>
            <w:spacing w:line="240" w:lineRule="auto" w:before="164" w:after="0"/>
            <w:ind w:left="541" w:right="0" w:hanging="440"/>
            <w:jc w:val="left"/>
          </w:pPr>
          <w:hyperlink w:history="true" w:anchor="_bookmark3">
            <w:r>
              <w:rPr/>
              <w:t>CONCLUSÕES</w:t>
              <w:tab/>
              <w:t>15</w:t>
            </w:r>
          </w:hyperlink>
        </w:p>
        <w:p>
          <w:pPr>
            <w:pStyle w:val="TOC1"/>
            <w:numPr>
              <w:ilvl w:val="0"/>
              <w:numId w:val="1"/>
            </w:numPr>
            <w:tabs>
              <w:tab w:pos="541" w:val="left" w:leader="none"/>
              <w:tab w:pos="542" w:val="left" w:leader="none"/>
              <w:tab w:pos="8357" w:val="left" w:leader="dot"/>
            </w:tabs>
            <w:spacing w:line="240" w:lineRule="auto" w:before="160" w:after="0"/>
            <w:ind w:left="541" w:right="0" w:hanging="440"/>
            <w:jc w:val="left"/>
          </w:pPr>
          <w:hyperlink w:history="true" w:anchor="_bookmark4">
            <w:r>
              <w:rPr/>
              <w:t>PROPOSTAS</w:t>
            </w:r>
            <w:r>
              <w:rPr>
                <w:spacing w:val="-3"/>
              </w:rPr>
              <w:t> </w:t>
            </w:r>
            <w:r>
              <w:rPr/>
              <w:t>DE</w:t>
            </w:r>
            <w:r>
              <w:rPr>
                <w:spacing w:val="-3"/>
              </w:rPr>
              <w:t> </w:t>
            </w:r>
            <w:r>
              <w:rPr/>
              <w:t>ENCAMINHAMENTO</w:t>
              <w:tab/>
              <w:t>15</w:t>
            </w:r>
          </w:hyperlink>
        </w:p>
        <w:p>
          <w:pPr>
            <w:pStyle w:val="TOC1"/>
            <w:tabs>
              <w:tab w:pos="8357" w:val="left" w:leader="dot"/>
            </w:tabs>
            <w:ind w:left="102" w:firstLine="0"/>
          </w:pPr>
          <w:hyperlink w:history="true" w:anchor="_bookmark5">
            <w:r>
              <w:rPr/>
              <w:t>ANEXO</w:t>
              <w:tab/>
              <w:t>27</w:t>
            </w:r>
          </w:hyperlink>
        </w:p>
      </w:sdtContent>
    </w:sdt>
    <w:p>
      <w:pPr>
        <w:spacing w:after="0"/>
        <w:sectPr>
          <w:headerReference w:type="default" r:id="rId6"/>
          <w:pgSz w:w="11910" w:h="16840"/>
          <w:pgMar w:header="403" w:footer="0" w:top="1540" w:bottom="280" w:left="1600" w:right="1580"/>
        </w:sectPr>
      </w:pPr>
    </w:p>
    <w:p>
      <w:pPr>
        <w:pStyle w:val="BodyText"/>
        <w:rPr>
          <w:sz w:val="20"/>
        </w:rPr>
      </w:pPr>
    </w:p>
    <w:p>
      <w:pPr>
        <w:pStyle w:val="BodyText"/>
        <w:spacing w:before="7"/>
        <w:rPr>
          <w:sz w:val="20"/>
        </w:rPr>
      </w:pPr>
    </w:p>
    <w:p>
      <w:pPr>
        <w:pStyle w:val="Heading1"/>
        <w:numPr>
          <w:ilvl w:val="0"/>
          <w:numId w:val="2"/>
        </w:numPr>
        <w:tabs>
          <w:tab w:pos="809" w:val="left" w:leader="none"/>
          <w:tab w:pos="810" w:val="left" w:leader="none"/>
        </w:tabs>
        <w:spacing w:line="240" w:lineRule="auto" w:before="0" w:after="0"/>
        <w:ind w:left="810" w:right="0" w:hanging="349"/>
        <w:jc w:val="left"/>
      </w:pPr>
      <w:bookmarkStart w:name="_bookmark0" w:id="1"/>
      <w:bookmarkEnd w:id="1"/>
      <w:r>
        <w:rPr>
          <w:b w:val="0"/>
        </w:rPr>
      </w:r>
      <w:bookmarkStart w:name="_bookmark0" w:id="2"/>
      <w:bookmarkEnd w:id="2"/>
      <w:r>
        <w:rPr/>
        <w:t>INTRODU</w:t>
      </w:r>
      <w:r>
        <w:rPr/>
        <w:t>ÇÃO</w:t>
      </w:r>
    </w:p>
    <w:p>
      <w:pPr>
        <w:pStyle w:val="BodyText"/>
        <w:spacing w:before="5"/>
        <w:rPr>
          <w:b/>
          <w:sz w:val="20"/>
        </w:rPr>
      </w:pPr>
    </w:p>
    <w:p>
      <w:pPr>
        <w:pStyle w:val="BodyText"/>
        <w:ind w:left="102" w:right="120"/>
        <w:jc w:val="both"/>
      </w:pPr>
      <w:r>
        <w:rPr/>
        <w:t>Em 4 de dezembro de 2012, o Conselho Nacional de Justiça (CNJ) aprovou as primeiras propostas de ações coordenadas de auditoria no âmbito das suas Unidades Jurisdicionadas, solicitando através do Ofício Circular nº 12/2012/SCI/Presi/CNJ a inclusão, no Plano Anual de Atividades de Auditoria a ser executado no exercício 2013, de ações coordenadas para verificação da aderência das áreas de controle interno, tecnologia da informação e obras públicas às regras estabelecidas nas Resoluções CNJ nº 86, de 8 de setembro 2009, nº 90, de 29 de setembro de 2009, e nº 114, de 20 de abril de 2010 e no Acórdão do Tribunal de Contas da União (TCU) - Plenário nº 1.233, de 23 de maio de</w:t>
      </w:r>
      <w:r>
        <w:rPr>
          <w:spacing w:val="-2"/>
        </w:rPr>
        <w:t> </w:t>
      </w:r>
      <w:r>
        <w:rPr/>
        <w:t>2012.</w:t>
      </w:r>
    </w:p>
    <w:p>
      <w:pPr>
        <w:pStyle w:val="BodyText"/>
        <w:spacing w:before="119"/>
        <w:ind w:left="102" w:right="119"/>
        <w:jc w:val="both"/>
      </w:pPr>
      <w:r>
        <w:rPr/>
        <w:t>O §1º da Resolução CNJ nº 171, de 1º de março de 2013, dispôs sobre a realização de auditorias coordenadas, cujo objetivo é a gestão concomitante, tempestiva e padronizada sobre questões de relevância e criticidade para o Poder Judiciário, bem como o atendimento aos princípios de eficiência, eficácia, economicidade e efetividade.</w:t>
      </w:r>
    </w:p>
    <w:p>
      <w:pPr>
        <w:pStyle w:val="BodyText"/>
        <w:spacing w:before="120"/>
        <w:ind w:left="102" w:right="119"/>
        <w:jc w:val="both"/>
      </w:pPr>
      <w:r>
        <w:rPr/>
        <w:t>O TCU, por sua vez, vem emitindo recomendações constantes nos Acórdãos nº</w:t>
      </w:r>
      <w:r>
        <w:rPr>
          <w:vertAlign w:val="superscript"/>
        </w:rPr>
        <w:t>s</w:t>
      </w:r>
      <w:r>
        <w:rPr>
          <w:vertAlign w:val="baseline"/>
        </w:rPr>
        <w:t> 1.603/2008, 145/2011, 54/2012 e 1.233/2012, todos do Plenário que indicam a necessidade de promoção, pelo CNJ, de ações com vistas à elaboração de um modelo de contratação e gestão de soluções de tecnologia da informação para os órgãos submetidos ao controle administrativo e financeiro do CNJ.</w:t>
      </w:r>
    </w:p>
    <w:p>
      <w:pPr>
        <w:pStyle w:val="BodyText"/>
        <w:spacing w:before="120"/>
        <w:ind w:left="102" w:right="119"/>
        <w:jc w:val="both"/>
      </w:pPr>
      <w:r>
        <w:rPr/>
        <w:t>Em 17 de outubro de 2013, o CNJ, visando à padronização de procedimentos para as contratações de Tecnologia da Informação e Comunicação (TIC), de maneira que haja previsibilidade com relação ao planejamento, à execução e à gestão dos contratos, editou a Resolução nº 182, de 17 de outubro de 2013, dispondo sobre diretrizes para as contratações de Solução de Tecnologia da Informação e Comunicação (STIC) pelos órgãos submetidos ao seu controle administrativo e</w:t>
      </w:r>
      <w:r>
        <w:rPr>
          <w:spacing w:val="-3"/>
        </w:rPr>
        <w:t> </w:t>
      </w:r>
      <w:r>
        <w:rPr/>
        <w:t>financeiro.</w:t>
      </w:r>
    </w:p>
    <w:p>
      <w:pPr>
        <w:pStyle w:val="BodyText"/>
        <w:spacing w:before="120"/>
        <w:ind w:left="102" w:right="117"/>
        <w:jc w:val="both"/>
      </w:pPr>
      <w:r>
        <w:rPr/>
        <w:t>O inciso IX do art. 2º da Instrução Normativa do Poder Executivo Federal nº 4, de 12 de novembro de 2010 define STIC como o conjunto de bens e serviços de Tecnologia da Informação e automação que se integram para o alcance dos resultados pretendidos com a contratação.</w:t>
      </w:r>
    </w:p>
    <w:p>
      <w:pPr>
        <w:pStyle w:val="BodyText"/>
        <w:spacing w:before="120"/>
        <w:ind w:left="102" w:right="114"/>
        <w:jc w:val="both"/>
      </w:pPr>
      <w:r>
        <w:rPr/>
        <w:t>Em atendimento ao quanto disposto no art. 6º do sobredito normativo do CNJ e em consonância, ainda, com o objetivo definido no Planejamento Estratégico do Tribunal Regional Eleitoral da Bahia (PEI) para o período 2012-2014</w:t>
      </w:r>
      <w:r>
        <w:rPr>
          <w:vertAlign w:val="superscript"/>
        </w:rPr>
        <w:t>1</w:t>
      </w:r>
      <w:r>
        <w:rPr>
          <w:vertAlign w:val="baseline"/>
        </w:rPr>
        <w:t> (“garantir a infraestrutura apropriada às atividades institucionais”), e no Planejamento Estratégico de Tecnologia da Informação</w:t>
      </w:r>
      <w:r>
        <w:rPr>
          <w:vertAlign w:val="superscript"/>
        </w:rPr>
        <w:t>2</w:t>
      </w:r>
      <w:r>
        <w:rPr>
          <w:vertAlign w:val="baseline"/>
        </w:rPr>
        <w:t> (PETI) (“garantir a infraestrutura apropriada às atividades judiciais e administrativas”), este Regional procedeu à elaboração do plano de contratações para o exercício 2014, aprovado em 10/12/2013, de modo a incluir todas as contratações necessárias ao alcance dos objetivos estabelecidos nos planejamentos do Órgão e no de Tecnologia da Informação.</w:t>
      </w:r>
    </w:p>
    <w:p>
      <w:pPr>
        <w:pStyle w:val="BodyText"/>
        <w:spacing w:before="121"/>
        <w:ind w:left="102" w:right="119"/>
        <w:jc w:val="both"/>
      </w:pPr>
      <w:r>
        <w:rPr/>
        <w:t>O Plano de Contratações de Solução de Tecnologia da Informação para execução no exercício 2014 foi apresentado à Administração por meio do memorando nº</w:t>
      </w:r>
    </w:p>
    <w:p>
      <w:pPr>
        <w:pStyle w:val="BodyText"/>
        <w:spacing w:before="5"/>
        <w:rPr>
          <w:sz w:val="28"/>
        </w:rPr>
      </w:pPr>
      <w:r>
        <w:rPr/>
        <w:pict>
          <v:rect style="position:absolute;margin-left:85.103996pt;margin-top:18.309774pt;width:144.020pt;height:.72003pt;mso-position-horizontal-relative:page;mso-position-vertical-relative:paragraph;z-index:-15728640;mso-wrap-distance-left:0;mso-wrap-distance-right:0" filled="true" fillcolor="#000000" stroked="false">
            <v:fill type="solid"/>
            <w10:wrap type="topAndBottom"/>
          </v:rect>
        </w:pict>
      </w:r>
    </w:p>
    <w:p>
      <w:pPr>
        <w:spacing w:before="68"/>
        <w:ind w:left="102" w:right="734" w:firstLine="0"/>
        <w:jc w:val="left"/>
        <w:rPr>
          <w:sz w:val="20"/>
        </w:rPr>
      </w:pPr>
      <w:r>
        <w:rPr>
          <w:sz w:val="20"/>
          <w:vertAlign w:val="superscript"/>
        </w:rPr>
        <w:t>1</w:t>
      </w:r>
      <w:r>
        <w:rPr>
          <w:sz w:val="20"/>
          <w:vertAlign w:val="baseline"/>
        </w:rPr>
        <w:t> Planejamento estratégico institucional para o triênio 2012-2014 aprovado por meio da Resolução Administrativa do TRE-BA nº 13, de 18 de dezembro de 2012.</w:t>
      </w:r>
    </w:p>
    <w:p>
      <w:pPr>
        <w:spacing w:before="0"/>
        <w:ind w:left="102" w:right="35" w:firstLine="0"/>
        <w:jc w:val="left"/>
        <w:rPr>
          <w:sz w:val="20"/>
        </w:rPr>
      </w:pPr>
      <w:r>
        <w:rPr>
          <w:sz w:val="20"/>
          <w:vertAlign w:val="superscript"/>
        </w:rPr>
        <w:t>2</w:t>
      </w:r>
      <w:r>
        <w:rPr>
          <w:sz w:val="20"/>
          <w:vertAlign w:val="baseline"/>
        </w:rPr>
        <w:t> Planejamento estratégico de Tecnologia da Informação aprovado por meio da Resolução Administrativa nº 3, de 26/4/2010.</w:t>
      </w:r>
    </w:p>
    <w:p>
      <w:pPr>
        <w:spacing w:after="0"/>
        <w:jc w:val="left"/>
        <w:rPr>
          <w:sz w:val="20"/>
        </w:rPr>
        <w:sectPr>
          <w:headerReference w:type="default" r:id="rId7"/>
          <w:footerReference w:type="default" r:id="rId8"/>
          <w:pgSz w:w="11910" w:h="16840"/>
          <w:pgMar w:header="403" w:footer="813" w:top="1540" w:bottom="1000" w:left="1600" w:right="1580"/>
          <w:pgNumType w:start="6"/>
        </w:sectPr>
      </w:pPr>
    </w:p>
    <w:p>
      <w:pPr>
        <w:pStyle w:val="BodyText"/>
        <w:spacing w:before="11"/>
        <w:rPr>
          <w:sz w:val="21"/>
        </w:rPr>
      </w:pPr>
    </w:p>
    <w:p>
      <w:pPr>
        <w:pStyle w:val="BodyText"/>
        <w:spacing w:before="90"/>
        <w:ind w:left="102" w:right="122"/>
        <w:jc w:val="both"/>
      </w:pPr>
      <w:r>
        <w:rPr/>
        <w:t>17/2013/STI (fls. 2-4 do expediente nº 88.132/2013), em atendimento à Resolução CNJ nº 182/2013.</w:t>
      </w:r>
    </w:p>
    <w:p>
      <w:pPr>
        <w:pStyle w:val="BodyText"/>
        <w:spacing w:before="120"/>
        <w:ind w:left="102" w:right="116"/>
        <w:jc w:val="both"/>
      </w:pPr>
      <w:r>
        <w:rPr/>
        <w:t>O Tribunal Superior Eleitoral (TSE) orientou que as Secretarias de TI deveriam seguir um modelo unificado para o Plano de Contratações da Justiça Eleitoral, disponibilizando-o no endereço </w:t>
      </w:r>
      <w:hyperlink r:id="rId9">
        <w:r>
          <w:rPr/>
          <w:t>http://sticonhecimento.tse.jus.br/grupos/gt-governanca-</w:t>
        </w:r>
      </w:hyperlink>
      <w:r>
        <w:rPr/>
        <w:t> </w:t>
      </w:r>
      <w:hyperlink r:id="rId9">
        <w:r>
          <w:rPr/>
          <w:t>de-tic/documentos/contratacoes-de-tic.</w:t>
        </w:r>
      </w:hyperlink>
    </w:p>
    <w:p>
      <w:pPr>
        <w:pStyle w:val="BodyText"/>
        <w:spacing w:before="117"/>
        <w:ind w:left="102" w:right="117"/>
        <w:jc w:val="both"/>
      </w:pPr>
      <w:r>
        <w:rPr/>
        <w:t>A STI encaminhou manifestação à ASSESP, por meio do expediente de nº 85.420/2013, propondo o alinhamento das ações voltadas à Resolução CNJ 182/2013 com o TSE e com as diversas áreas administrativas internas do TRE-BA. Além disso, salientou que o CNJ havia enviado mensagem eletrônica às áreas de TI dos Tribunais, comunicando que iria acompanhar o cumprimento das disposições daquela Resolução e manifestando entendimento de que o planejamento da implantação deveria abarcar as diversas áreas envolvidas nas contratações, como a de Tecnologia, a Jurídica, o Controle Interno e a Administrativa. Assim, a aplicação das prescrições dispostas na Resolução CNJ 182/2013 dependem ainda de alinhamento interno e, nessa circunstância, as ações básicas na direção do seu cumprimento necessitam de envolvimento de outras unidades do Tribunal e de definições administrativas correlacionadas ao tema.</w:t>
      </w:r>
    </w:p>
    <w:p>
      <w:pPr>
        <w:pStyle w:val="BodyText"/>
        <w:spacing w:before="121"/>
        <w:ind w:left="102" w:right="114"/>
        <w:jc w:val="both"/>
      </w:pPr>
      <w:r>
        <w:rPr/>
        <w:t>Registre-se que o plano sob comento não foi submetido a procedimentos revisionais, e que em que pese não tenha havido formalização dos estudos preliminares previstos, a STI afirmou que vem realizando os referidos estudos na fase de planejamento de algumas contratações.</w:t>
      </w:r>
    </w:p>
    <w:p>
      <w:pPr>
        <w:pStyle w:val="BodyText"/>
        <w:spacing w:before="121"/>
        <w:ind w:left="102" w:right="116"/>
        <w:jc w:val="both"/>
      </w:pPr>
      <w:r>
        <w:rPr/>
        <w:t>O volume de </w:t>
      </w:r>
      <w:r>
        <w:rPr>
          <w:spacing w:val="-3"/>
        </w:rPr>
        <w:t>recursos estimados com contratação </w:t>
      </w:r>
      <w:r>
        <w:rPr/>
        <w:t>de TI foi de </w:t>
      </w:r>
      <w:r>
        <w:rPr>
          <w:spacing w:val="-3"/>
        </w:rPr>
        <w:t>R$7.891.034,00, </w:t>
      </w:r>
      <w:r>
        <w:rPr/>
        <w:t>conforme </w:t>
      </w:r>
      <w:r>
        <w:rPr>
          <w:spacing w:val="-3"/>
        </w:rPr>
        <w:t>previsto </w:t>
      </w:r>
      <w:r>
        <w:rPr/>
        <w:t>no Plano de </w:t>
      </w:r>
      <w:r>
        <w:rPr>
          <w:spacing w:val="-3"/>
        </w:rPr>
        <w:t>Contratações </w:t>
      </w:r>
      <w:r>
        <w:rPr/>
        <w:t>para o </w:t>
      </w:r>
      <w:r>
        <w:rPr>
          <w:spacing w:val="-3"/>
        </w:rPr>
        <w:t>exercício 2014, constante </w:t>
      </w:r>
      <w:r>
        <w:rPr/>
        <w:t>do anexo </w:t>
      </w:r>
      <w:r>
        <w:rPr>
          <w:spacing w:val="-3"/>
        </w:rPr>
        <w:t>I.</w:t>
      </w:r>
    </w:p>
    <w:p>
      <w:pPr>
        <w:pStyle w:val="BodyText"/>
        <w:spacing w:before="120"/>
        <w:ind w:left="102" w:right="121"/>
        <w:jc w:val="both"/>
      </w:pPr>
      <w:r>
        <w:rPr/>
        <w:t>O CNJ, por meio do Ofício Circular SCI/Presi/CNJ nº 2, de 18 de outubro de 2013, determinou a inclusão da Ação Coordenada de Auditoria na área de tecnologia da informação, com escopo no modelo de contratação e gestão de soluções de TI no Plano Anual de Atividades de Auditoria 2014 deste Tribunal, informando que a previsão para a realização da referida ação coordenada de auditoria correspondia ao período de 1º a 30 de outubro de 2014, e a entrega à SCI/CNJ dos pontos respondidos em relação à Matriz de Procedimentos deveria ocorrer até 21 de novembro de</w:t>
      </w:r>
      <w:r>
        <w:rPr>
          <w:spacing w:val="-7"/>
        </w:rPr>
        <w:t> </w:t>
      </w:r>
      <w:r>
        <w:rPr/>
        <w:t>2014.</w:t>
      </w:r>
    </w:p>
    <w:p>
      <w:pPr>
        <w:pStyle w:val="BodyText"/>
        <w:spacing w:before="120"/>
        <w:ind w:left="102" w:right="121"/>
        <w:jc w:val="both"/>
      </w:pPr>
      <w:r>
        <w:rPr/>
        <w:t>Nesse sentido, com base no quanto requerido pelo CNJ, a presente auditoria de TI encontra previsão no Plano Anual de Atividades de Auditoria 2014 (PAAA 2014), aprovado por meio da Portaria da Presidência do TRE-BA nº 933, de 6 de novembro de 2013.</w:t>
      </w:r>
    </w:p>
    <w:p>
      <w:pPr>
        <w:pStyle w:val="BodyText"/>
        <w:spacing w:before="121"/>
        <w:ind w:left="102" w:right="119"/>
        <w:jc w:val="both"/>
      </w:pPr>
      <w:r>
        <w:rPr/>
        <w:t>O procedimento investigativo constituiu objeto do Comunicado de Auditoria nº 8/2014/SCI, e teve por objetivo avaliar a conformidade das contratações de solução de tecnologia da informação (planejamento da contratação, análise de viabilidade da contratação, sustentação do contrato, estratégia para as contratações e análise de riscos) em face das diretrizes estabelecidas na Resolução CNJ nº 182/2013.</w:t>
      </w:r>
    </w:p>
    <w:p>
      <w:pPr>
        <w:pStyle w:val="BodyText"/>
        <w:spacing w:before="120"/>
        <w:ind w:left="102" w:right="116"/>
        <w:jc w:val="both"/>
      </w:pPr>
      <w:r>
        <w:rPr/>
        <w:t>Para elucidação das questões de auditoria formuladas foram emitidas, ainda, Requisições de Documentos e Informações (RDIs) sob nºs 55 e 64/2014/SCI/COGES/SEAUD.</w:t>
      </w:r>
    </w:p>
    <w:p>
      <w:pPr>
        <w:pStyle w:val="BodyText"/>
        <w:spacing w:before="120"/>
        <w:ind w:left="102" w:right="117"/>
        <w:jc w:val="both"/>
      </w:pPr>
      <w:r>
        <w:rPr/>
        <w:t>Assim, a execução da auditoria sob comento objetivou avaliar a aderência deste Tribunal às diretrizes estabelecidas na Resolução CNJ nº 182/2013 e responder aos pontos de auditoria disponibilizados pelo</w:t>
      </w:r>
      <w:r>
        <w:rPr>
          <w:spacing w:val="-2"/>
        </w:rPr>
        <w:t> </w:t>
      </w:r>
      <w:r>
        <w:rPr/>
        <w:t>CNJ.</w:t>
      </w:r>
    </w:p>
    <w:p>
      <w:pPr>
        <w:spacing w:after="0"/>
        <w:jc w:val="both"/>
        <w:sectPr>
          <w:pgSz w:w="11910" w:h="16840"/>
          <w:pgMar w:header="403" w:footer="813" w:top="1540" w:bottom="1000" w:left="1600" w:right="1580"/>
        </w:sectPr>
      </w:pPr>
    </w:p>
    <w:p>
      <w:pPr>
        <w:pStyle w:val="BodyText"/>
        <w:spacing w:before="11"/>
        <w:rPr>
          <w:sz w:val="21"/>
        </w:rPr>
      </w:pPr>
    </w:p>
    <w:p>
      <w:pPr>
        <w:pStyle w:val="BodyText"/>
        <w:spacing w:before="90"/>
        <w:ind w:left="102" w:right="124"/>
        <w:jc w:val="both"/>
      </w:pPr>
      <w:r>
        <w:rPr/>
        <w:t>Os trabalhos foram desenvolvidos em conformidade com as normas de auditoria do TCU e com as disposições da Resolução CNJ nº 171/2013, que estabelece normas técnicas de auditoria, inspeção administrativa e fiscalização, no âmbito do Poder Judiciário.</w:t>
      </w:r>
    </w:p>
    <w:p>
      <w:pPr>
        <w:pStyle w:val="BodyText"/>
        <w:spacing w:before="120"/>
        <w:ind w:left="102" w:right="119"/>
        <w:jc w:val="both"/>
      </w:pPr>
      <w:r>
        <w:rPr/>
        <w:t>Para condução e fundamentação dos exames, foi utilizado o referencial teórico consubstanciado na Resolução nº 182, de 17 de outubro de 2013 e utilizada como critério a Resolução nº 3/2010, que aprovou o PETI do TRE-BA, e a Resolução nº 13/2012 que aprovou o PEI.</w:t>
      </w:r>
    </w:p>
    <w:p>
      <w:pPr>
        <w:pStyle w:val="BodyText"/>
        <w:spacing w:before="117"/>
        <w:ind w:left="102" w:right="116"/>
        <w:jc w:val="both"/>
      </w:pPr>
      <w:r>
        <w:rPr/>
        <w:t>Utilizou-se, ainda, como fonte de informação, a proposta Orçamentária 2014 e os Termos de Referência (TRs) das contratações relativas à aquisição de material de processamento de dados e à locação de </w:t>
      </w:r>
      <w:r>
        <w:rPr>
          <w:i/>
        </w:rPr>
        <w:t>notebooks </w:t>
      </w:r>
      <w:r>
        <w:rPr/>
        <w:t>para transmissão remota, constantes dos expedientes nºs 10.855/2014 e 13.354/2014.</w:t>
      </w:r>
    </w:p>
    <w:p>
      <w:pPr>
        <w:pStyle w:val="BodyText"/>
        <w:spacing w:before="121"/>
        <w:ind w:left="102" w:right="115"/>
        <w:jc w:val="both"/>
      </w:pPr>
      <w:r>
        <w:rPr/>
        <w:t>Registre-se, por oportuno, que nenhum óbice foi imposto ao desenvolvimento dos trabalhos da presente auditoria. Não obstante, suas conclusões podem ter sido limitadas, tendo em vista a ausência de capacitação específica no tema dos membros da equipe de auditoria designada.</w:t>
      </w:r>
    </w:p>
    <w:p>
      <w:pPr>
        <w:pStyle w:val="BodyText"/>
        <w:spacing w:before="120"/>
        <w:ind w:left="102" w:right="119"/>
        <w:jc w:val="both"/>
      </w:pPr>
      <w:r>
        <w:rPr/>
        <w:t>Acrescente-se impossibilidade de realização de testes com vistas à verificação do quanto previsto no art. 10, da Res. CNJ nº 182/2013, que dispõe sobre limitações relacionadas ao objeto de contratação de STIC, tendo em vista que a requisição, para análise, de todos os expedientes do Plano de Contratações de STIC deste Regional impactaria negativamente na tramitação dos mesmos, considerando a proximidade do encerramento do exercício, consoante justificativas apresentadas pelas unidade consultadas.</w:t>
      </w:r>
    </w:p>
    <w:p>
      <w:pPr>
        <w:pStyle w:val="BodyText"/>
        <w:spacing w:before="121"/>
        <w:ind w:left="102" w:right="117"/>
        <w:jc w:val="both"/>
      </w:pPr>
      <w:r>
        <w:rPr/>
        <w:t>Espera-se que o presente diagnóstico acerca da conformidade das contratações de solução de tecnologia da informação possa auxiliar a Alta Gestão do TRE-BA na tomada de decisões, notadamente quanto à adoção de medidas destinadas </w:t>
      </w:r>
      <w:r>
        <w:rPr>
          <w:spacing w:val="2"/>
        </w:rPr>
        <w:t>ao </w:t>
      </w:r>
      <w:r>
        <w:rPr/>
        <w:t>aprimoramento</w:t>
      </w:r>
      <w:r>
        <w:rPr>
          <w:spacing w:val="5"/>
        </w:rPr>
        <w:t> </w:t>
      </w:r>
      <w:r>
        <w:rPr/>
        <w:t>do</w:t>
      </w:r>
      <w:r>
        <w:rPr>
          <w:spacing w:val="8"/>
        </w:rPr>
        <w:t> </w:t>
      </w:r>
      <w:r>
        <w:rPr/>
        <w:t>processo</w:t>
      </w:r>
      <w:r>
        <w:rPr>
          <w:spacing w:val="5"/>
        </w:rPr>
        <w:t> </w:t>
      </w:r>
      <w:r>
        <w:rPr/>
        <w:t>de</w:t>
      </w:r>
      <w:r>
        <w:rPr>
          <w:spacing w:val="9"/>
        </w:rPr>
        <w:t> </w:t>
      </w:r>
      <w:r>
        <w:rPr/>
        <w:t>contratações</w:t>
      </w:r>
      <w:r>
        <w:rPr>
          <w:spacing w:val="5"/>
        </w:rPr>
        <w:t> </w:t>
      </w:r>
      <w:r>
        <w:rPr/>
        <w:t>relativas</w:t>
      </w:r>
      <w:r>
        <w:rPr>
          <w:spacing w:val="6"/>
        </w:rPr>
        <w:t> </w:t>
      </w:r>
      <w:r>
        <w:rPr/>
        <w:t>a</w:t>
      </w:r>
      <w:r>
        <w:rPr>
          <w:spacing w:val="8"/>
        </w:rPr>
        <w:t> </w:t>
      </w:r>
      <w:r>
        <w:rPr/>
        <w:t>Soluções</w:t>
      </w:r>
      <w:r>
        <w:rPr>
          <w:spacing w:val="6"/>
        </w:rPr>
        <w:t> </w:t>
      </w:r>
      <w:r>
        <w:rPr/>
        <w:t>de</w:t>
      </w:r>
      <w:r>
        <w:rPr>
          <w:spacing w:val="7"/>
        </w:rPr>
        <w:t> </w:t>
      </w:r>
      <w:r>
        <w:rPr/>
        <w:t>TI.</w:t>
      </w:r>
    </w:p>
    <w:p>
      <w:pPr>
        <w:spacing w:after="0"/>
        <w:jc w:val="both"/>
        <w:sectPr>
          <w:pgSz w:w="11910" w:h="16840"/>
          <w:pgMar w:header="403" w:footer="813" w:top="1540" w:bottom="1000" w:left="1600" w:right="1580"/>
        </w:sectPr>
      </w:pPr>
    </w:p>
    <w:p>
      <w:pPr>
        <w:pStyle w:val="BodyText"/>
        <w:rPr>
          <w:sz w:val="20"/>
        </w:rPr>
      </w:pPr>
    </w:p>
    <w:p>
      <w:pPr>
        <w:pStyle w:val="BodyText"/>
        <w:spacing w:before="2"/>
        <w:rPr>
          <w:sz w:val="23"/>
        </w:rPr>
      </w:pPr>
    </w:p>
    <w:p>
      <w:pPr>
        <w:pStyle w:val="Heading1"/>
        <w:numPr>
          <w:ilvl w:val="0"/>
          <w:numId w:val="2"/>
        </w:numPr>
        <w:tabs>
          <w:tab w:pos="810" w:val="left" w:leader="none"/>
        </w:tabs>
        <w:spacing w:line="240" w:lineRule="auto" w:before="90" w:after="0"/>
        <w:ind w:left="810" w:right="0" w:hanging="349"/>
        <w:jc w:val="both"/>
      </w:pPr>
      <w:bookmarkStart w:name="_bookmark1" w:id="3"/>
      <w:bookmarkEnd w:id="3"/>
      <w:r>
        <w:rPr>
          <w:b w:val="0"/>
        </w:rPr>
      </w:r>
      <w:bookmarkStart w:name="_bookmark1" w:id="4"/>
      <w:bookmarkEnd w:id="4"/>
      <w:r>
        <w:rPr/>
        <w:t>A</w:t>
      </w:r>
      <w:r>
        <w:rPr/>
        <w:t>NÁLISE DAS FONTES DE</w:t>
      </w:r>
      <w:r>
        <w:rPr>
          <w:spacing w:val="-1"/>
        </w:rPr>
        <w:t> </w:t>
      </w:r>
      <w:r>
        <w:rPr/>
        <w:t>INFORMAÇÃO</w:t>
      </w:r>
    </w:p>
    <w:p>
      <w:pPr>
        <w:pStyle w:val="BodyText"/>
        <w:spacing w:before="5"/>
        <w:rPr>
          <w:b/>
          <w:sz w:val="20"/>
        </w:rPr>
      </w:pPr>
    </w:p>
    <w:p>
      <w:pPr>
        <w:pStyle w:val="BodyText"/>
        <w:spacing w:before="1"/>
        <w:ind w:left="102" w:right="118"/>
        <w:jc w:val="both"/>
      </w:pPr>
      <w:r>
        <w:rPr/>
        <w:t>No intuito de viabilizar as análises necessárias à elucidação das questões de auditoria formuladas, conforme registro na matriz de planejamento correspondente, foram emitidas RDIs sob números 55 e 64/2014.</w:t>
      </w:r>
    </w:p>
    <w:p>
      <w:pPr>
        <w:pStyle w:val="BodyText"/>
        <w:spacing w:before="120"/>
        <w:ind w:left="102" w:right="120"/>
        <w:jc w:val="both"/>
      </w:pPr>
      <w:r>
        <w:rPr/>
        <w:t>Ambas tiveram por unidade destinatária a Secretaria de Tecnologia da Informação (STI). A RDI nº 55 objetivou a requisição do expediente nº 88.132/2013, referente ao plano de contratações; e a de número 64 requereu informações necessárias para responder aos pontos de auditoria apresentados pelo</w:t>
      </w:r>
      <w:r>
        <w:rPr>
          <w:spacing w:val="-1"/>
        </w:rPr>
        <w:t> </w:t>
      </w:r>
      <w:r>
        <w:rPr/>
        <w:t>CNJ.</w:t>
      </w:r>
    </w:p>
    <w:p>
      <w:pPr>
        <w:pStyle w:val="BodyText"/>
        <w:spacing w:before="118"/>
        <w:ind w:left="102" w:right="116"/>
        <w:jc w:val="both"/>
      </w:pPr>
      <w:r>
        <w:rPr/>
        <w:t>Foram solicitadas, ainda, por meio de mensagem eletrônica, à Secretaria de Orçamento, Finanças e Contabilidade (SOF), a proposta orçamentária do exercício 2014 e, à STI, informações quanto aos números dos expedientes que tramitaram com o objetivo de efetivar as contratações previstas no plano de contratações de 2014.</w:t>
      </w:r>
    </w:p>
    <w:p>
      <w:pPr>
        <w:pStyle w:val="BodyText"/>
        <w:spacing w:before="120"/>
        <w:ind w:left="102" w:right="115"/>
        <w:jc w:val="both"/>
      </w:pPr>
      <w:r>
        <w:rPr/>
        <w:t>A partir da resposta da STI foram selecionados dois expedientes - 10.855/2014 e 13.354/2014 - para análise dos TRs referentes à contratação de material de processamento de dados e à locação de </w:t>
      </w:r>
      <w:r>
        <w:rPr>
          <w:i/>
        </w:rPr>
        <w:t>notebooks </w:t>
      </w:r>
      <w:r>
        <w:rPr/>
        <w:t>para utilização no processo de transmissão remota no pleito 2014.</w:t>
      </w:r>
    </w:p>
    <w:p>
      <w:pPr>
        <w:pStyle w:val="BodyText"/>
        <w:spacing w:before="120"/>
        <w:ind w:left="102" w:right="120"/>
        <w:jc w:val="both"/>
      </w:pPr>
      <w:r>
        <w:rPr/>
        <w:t>Nesse sentido, realizados os estudos necessários à compreensão da matéria e construção da visão geral do objeto, examinados os normativos pertinentes, os expedientes solicitados, bem como a documentação técnica apresentada, merecem nota os seguintes registros:</w:t>
      </w:r>
    </w:p>
    <w:p>
      <w:pPr>
        <w:pStyle w:val="BodyText"/>
        <w:spacing w:before="10"/>
        <w:rPr>
          <w:sz w:val="20"/>
        </w:rPr>
      </w:pPr>
    </w:p>
    <w:p>
      <w:pPr>
        <w:pStyle w:val="ListParagraph"/>
        <w:numPr>
          <w:ilvl w:val="1"/>
          <w:numId w:val="2"/>
        </w:numPr>
        <w:tabs>
          <w:tab w:pos="810" w:val="left" w:leader="none"/>
        </w:tabs>
        <w:spacing w:line="240" w:lineRule="auto" w:before="1" w:after="0"/>
        <w:ind w:left="810" w:right="0" w:hanging="351"/>
        <w:jc w:val="both"/>
        <w:rPr>
          <w:i/>
          <w:sz w:val="24"/>
        </w:rPr>
      </w:pPr>
      <w:r>
        <w:rPr>
          <w:i/>
          <w:sz w:val="24"/>
        </w:rPr>
        <w:t>Expediente nº 88.132/2013, referente ao Plano de</w:t>
      </w:r>
      <w:r>
        <w:rPr>
          <w:i/>
          <w:spacing w:val="-2"/>
          <w:sz w:val="24"/>
        </w:rPr>
        <w:t> </w:t>
      </w:r>
      <w:r>
        <w:rPr>
          <w:i/>
          <w:sz w:val="24"/>
        </w:rPr>
        <w:t>Contratações</w:t>
      </w:r>
    </w:p>
    <w:p>
      <w:pPr>
        <w:pStyle w:val="BodyText"/>
        <w:spacing w:before="120"/>
        <w:ind w:left="102" w:right="117"/>
        <w:jc w:val="both"/>
      </w:pPr>
      <w:r>
        <w:rPr/>
        <w:t>Trata-se de memorando nº 17/2013/STI, apresentando à Administração do TRE-BA o Plano de Contratações de Solução de Tecnologia da Informação, para execução no exercício 2014 (fls. 2-4 do referido expediente).</w:t>
      </w:r>
    </w:p>
    <w:p>
      <w:pPr>
        <w:pStyle w:val="BodyText"/>
        <w:spacing w:before="120"/>
        <w:ind w:left="102" w:right="114"/>
        <w:jc w:val="both"/>
      </w:pPr>
      <w:r>
        <w:rPr>
          <w:spacing w:val="-3"/>
        </w:rPr>
        <w:t>Realizado </w:t>
      </w:r>
      <w:r>
        <w:rPr/>
        <w:t>o </w:t>
      </w:r>
      <w:r>
        <w:rPr>
          <w:spacing w:val="-3"/>
        </w:rPr>
        <w:t>cotejo </w:t>
      </w:r>
      <w:r>
        <w:rPr/>
        <w:t>dos </w:t>
      </w:r>
      <w:r>
        <w:rPr>
          <w:spacing w:val="-3"/>
        </w:rPr>
        <w:t>elementos integrantes </w:t>
      </w:r>
      <w:r>
        <w:rPr/>
        <w:t>do </w:t>
      </w:r>
      <w:r>
        <w:rPr>
          <w:spacing w:val="-3"/>
        </w:rPr>
        <w:t>Plano </w:t>
      </w:r>
      <w:r>
        <w:rPr/>
        <w:t>de </w:t>
      </w:r>
      <w:r>
        <w:rPr>
          <w:spacing w:val="-3"/>
        </w:rPr>
        <w:t>Contratações </w:t>
      </w:r>
      <w:r>
        <w:rPr/>
        <w:t>deste </w:t>
      </w:r>
      <w:r>
        <w:rPr>
          <w:spacing w:val="-3"/>
        </w:rPr>
        <w:t>Tribunal com </w:t>
      </w:r>
      <w:r>
        <w:rPr/>
        <w:t>os </w:t>
      </w:r>
      <w:r>
        <w:rPr>
          <w:spacing w:val="-3"/>
        </w:rPr>
        <w:t>parâmetros estabelecidos </w:t>
      </w:r>
      <w:r>
        <w:rPr/>
        <w:t>na Resolução CNJ nº </w:t>
      </w:r>
      <w:r>
        <w:rPr>
          <w:spacing w:val="-3"/>
        </w:rPr>
        <w:t>182/2013, </w:t>
      </w:r>
      <w:r>
        <w:rPr/>
        <w:t>verificou-se que o </w:t>
      </w:r>
      <w:r>
        <w:rPr>
          <w:spacing w:val="-3"/>
        </w:rPr>
        <w:t>referido</w:t>
      </w:r>
      <w:r>
        <w:rPr>
          <w:spacing w:val="-8"/>
        </w:rPr>
        <w:t> </w:t>
      </w:r>
      <w:r>
        <w:rPr/>
        <w:t>plano</w:t>
      </w:r>
      <w:r>
        <w:rPr>
          <w:spacing w:val="-8"/>
        </w:rPr>
        <w:t> </w:t>
      </w:r>
      <w:r>
        <w:rPr/>
        <w:t>foi</w:t>
      </w:r>
      <w:r>
        <w:rPr>
          <w:spacing w:val="-7"/>
        </w:rPr>
        <w:t> </w:t>
      </w:r>
      <w:r>
        <w:rPr/>
        <w:t>elaborado</w:t>
      </w:r>
      <w:r>
        <w:rPr>
          <w:spacing w:val="-8"/>
        </w:rPr>
        <w:t> </w:t>
      </w:r>
      <w:r>
        <w:rPr/>
        <w:t>no</w:t>
      </w:r>
      <w:r>
        <w:rPr>
          <w:spacing w:val="-7"/>
        </w:rPr>
        <w:t> </w:t>
      </w:r>
      <w:r>
        <w:rPr/>
        <w:t>ano</w:t>
      </w:r>
      <w:r>
        <w:rPr>
          <w:spacing w:val="-8"/>
        </w:rPr>
        <w:t> </w:t>
      </w:r>
      <w:r>
        <w:rPr/>
        <w:t>anterior</w:t>
      </w:r>
      <w:r>
        <w:rPr>
          <w:spacing w:val="-9"/>
        </w:rPr>
        <w:t> </w:t>
      </w:r>
      <w:r>
        <w:rPr/>
        <w:t>ao</w:t>
      </w:r>
      <w:r>
        <w:rPr>
          <w:spacing w:val="-8"/>
        </w:rPr>
        <w:t> </w:t>
      </w:r>
      <w:r>
        <w:rPr/>
        <w:t>exercício</w:t>
      </w:r>
      <w:r>
        <w:rPr>
          <w:spacing w:val="-7"/>
        </w:rPr>
        <w:t> </w:t>
      </w:r>
      <w:r>
        <w:rPr/>
        <w:t>de</w:t>
      </w:r>
      <w:r>
        <w:rPr>
          <w:spacing w:val="-9"/>
        </w:rPr>
        <w:t> </w:t>
      </w:r>
      <w:r>
        <w:rPr/>
        <w:t>sua</w:t>
      </w:r>
      <w:r>
        <w:rPr>
          <w:spacing w:val="-7"/>
        </w:rPr>
        <w:t> </w:t>
      </w:r>
      <w:r>
        <w:rPr>
          <w:spacing w:val="-3"/>
        </w:rPr>
        <w:t>execução,</w:t>
      </w:r>
      <w:r>
        <w:rPr>
          <w:spacing w:val="-8"/>
        </w:rPr>
        <w:t> </w:t>
      </w:r>
      <w:r>
        <w:rPr/>
        <w:t>pela</w:t>
      </w:r>
      <w:r>
        <w:rPr>
          <w:spacing w:val="-7"/>
        </w:rPr>
        <w:t> </w:t>
      </w:r>
      <w:r>
        <w:rPr>
          <w:spacing w:val="-3"/>
        </w:rPr>
        <w:t>área</w:t>
      </w:r>
      <w:r>
        <w:rPr>
          <w:spacing w:val="-8"/>
        </w:rPr>
        <w:t> </w:t>
      </w:r>
      <w:r>
        <w:rPr/>
        <w:t>de</w:t>
      </w:r>
      <w:r>
        <w:rPr>
          <w:spacing w:val="-9"/>
        </w:rPr>
        <w:t> </w:t>
      </w:r>
      <w:r>
        <w:rPr/>
        <w:t>TI, </w:t>
      </w:r>
      <w:r>
        <w:rPr>
          <w:spacing w:val="-3"/>
        </w:rPr>
        <w:t>contemplando </w:t>
      </w:r>
      <w:r>
        <w:rPr/>
        <w:t>os seguintes elementos mínimos </w:t>
      </w:r>
      <w:r>
        <w:rPr>
          <w:spacing w:val="-3"/>
        </w:rPr>
        <w:t>exigidos </w:t>
      </w:r>
      <w:r>
        <w:rPr/>
        <w:t>no §4º do art. 7º do </w:t>
      </w:r>
      <w:r>
        <w:rPr>
          <w:spacing w:val="-2"/>
        </w:rPr>
        <w:t>citado </w:t>
      </w:r>
      <w:r>
        <w:rPr>
          <w:spacing w:val="-3"/>
        </w:rPr>
        <w:t>normativo: indicação </w:t>
      </w:r>
      <w:r>
        <w:rPr/>
        <w:t>das </w:t>
      </w:r>
      <w:r>
        <w:rPr>
          <w:spacing w:val="-3"/>
        </w:rPr>
        <w:t>unidades demandantes </w:t>
      </w:r>
      <w:r>
        <w:rPr/>
        <w:t>por </w:t>
      </w:r>
      <w:r>
        <w:rPr>
          <w:spacing w:val="-3"/>
        </w:rPr>
        <w:t>Solução </w:t>
      </w:r>
      <w:r>
        <w:rPr/>
        <w:t>de TI; indicação </w:t>
      </w:r>
      <w:r>
        <w:rPr>
          <w:spacing w:val="-3"/>
        </w:rPr>
        <w:t>das fontes </w:t>
      </w:r>
      <w:r>
        <w:rPr/>
        <w:t>de </w:t>
      </w:r>
      <w:r>
        <w:rPr>
          <w:spacing w:val="-3"/>
        </w:rPr>
        <w:t>recursos, </w:t>
      </w:r>
      <w:r>
        <w:rPr/>
        <w:t>de </w:t>
      </w:r>
      <w:r>
        <w:rPr>
          <w:spacing w:val="-3"/>
        </w:rPr>
        <w:t>acordo </w:t>
      </w:r>
      <w:r>
        <w:rPr/>
        <w:t>com a </w:t>
      </w:r>
      <w:r>
        <w:rPr>
          <w:spacing w:val="-3"/>
        </w:rPr>
        <w:t>proposta orçamentária </w:t>
      </w:r>
      <w:r>
        <w:rPr/>
        <w:t>do </w:t>
      </w:r>
      <w:r>
        <w:rPr>
          <w:spacing w:val="-3"/>
        </w:rPr>
        <w:t>Órgão; </w:t>
      </w:r>
      <w:r>
        <w:rPr/>
        <w:t>e indicação dos </w:t>
      </w:r>
      <w:r>
        <w:rPr>
          <w:spacing w:val="-3"/>
        </w:rPr>
        <w:t>prazos </w:t>
      </w:r>
      <w:r>
        <w:rPr/>
        <w:t>de </w:t>
      </w:r>
      <w:r>
        <w:rPr>
          <w:spacing w:val="-3"/>
        </w:rPr>
        <w:t>entrega</w:t>
      </w:r>
      <w:r>
        <w:rPr>
          <w:spacing w:val="-8"/>
        </w:rPr>
        <w:t> </w:t>
      </w:r>
      <w:r>
        <w:rPr/>
        <w:t>dos</w:t>
      </w:r>
      <w:r>
        <w:rPr>
          <w:spacing w:val="-6"/>
        </w:rPr>
        <w:t> </w:t>
      </w:r>
      <w:r>
        <w:rPr>
          <w:spacing w:val="-3"/>
        </w:rPr>
        <w:t>Termos</w:t>
      </w:r>
      <w:r>
        <w:rPr>
          <w:spacing w:val="-6"/>
        </w:rPr>
        <w:t> </w:t>
      </w:r>
      <w:r>
        <w:rPr/>
        <w:t>de</w:t>
      </w:r>
      <w:r>
        <w:rPr>
          <w:spacing w:val="-7"/>
        </w:rPr>
        <w:t> </w:t>
      </w:r>
      <w:r>
        <w:rPr>
          <w:spacing w:val="-3"/>
        </w:rPr>
        <w:t>Referência.</w:t>
      </w:r>
      <w:r>
        <w:rPr>
          <w:spacing w:val="-6"/>
        </w:rPr>
        <w:t> </w:t>
      </w:r>
      <w:r>
        <w:rPr/>
        <w:t>Contudo,</w:t>
      </w:r>
      <w:r>
        <w:rPr>
          <w:spacing w:val="-6"/>
        </w:rPr>
        <w:t> </w:t>
      </w:r>
      <w:r>
        <w:rPr>
          <w:spacing w:val="-3"/>
        </w:rPr>
        <w:t>não</w:t>
      </w:r>
      <w:r>
        <w:rPr>
          <w:spacing w:val="-6"/>
        </w:rPr>
        <w:t> </w:t>
      </w:r>
      <w:r>
        <w:rPr/>
        <w:t>indicou</w:t>
      </w:r>
      <w:r>
        <w:rPr>
          <w:spacing w:val="-7"/>
        </w:rPr>
        <w:t> </w:t>
      </w:r>
      <w:r>
        <w:rPr/>
        <w:t>os</w:t>
      </w:r>
      <w:r>
        <w:rPr>
          <w:spacing w:val="-6"/>
        </w:rPr>
        <w:t> </w:t>
      </w:r>
      <w:r>
        <w:rPr/>
        <w:t>prazos</w:t>
      </w:r>
      <w:r>
        <w:rPr>
          <w:spacing w:val="-6"/>
        </w:rPr>
        <w:t> </w:t>
      </w:r>
      <w:r>
        <w:rPr/>
        <w:t>de</w:t>
      </w:r>
      <w:r>
        <w:rPr>
          <w:spacing w:val="-7"/>
        </w:rPr>
        <w:t> </w:t>
      </w:r>
      <w:r>
        <w:rPr/>
        <w:t>entrega</w:t>
      </w:r>
      <w:r>
        <w:rPr>
          <w:spacing w:val="-7"/>
        </w:rPr>
        <w:t> </w:t>
      </w:r>
      <w:r>
        <w:rPr/>
        <w:t>dos</w:t>
      </w:r>
      <w:r>
        <w:rPr>
          <w:spacing w:val="-6"/>
        </w:rPr>
        <w:t> </w:t>
      </w:r>
      <w:r>
        <w:rPr>
          <w:spacing w:val="-3"/>
        </w:rPr>
        <w:t>estudos preliminares </w:t>
      </w:r>
      <w:r>
        <w:rPr/>
        <w:t>da</w:t>
      </w:r>
      <w:r>
        <w:rPr>
          <w:spacing w:val="-9"/>
        </w:rPr>
        <w:t> </w:t>
      </w:r>
      <w:r>
        <w:rPr/>
        <w:t>STIC.</w:t>
      </w:r>
    </w:p>
    <w:p>
      <w:pPr>
        <w:pStyle w:val="BodyText"/>
        <w:spacing w:before="10"/>
        <w:rPr>
          <w:sz w:val="20"/>
        </w:rPr>
      </w:pPr>
    </w:p>
    <w:p>
      <w:pPr>
        <w:pStyle w:val="ListParagraph"/>
        <w:numPr>
          <w:ilvl w:val="1"/>
          <w:numId w:val="2"/>
        </w:numPr>
        <w:tabs>
          <w:tab w:pos="810" w:val="left" w:leader="none"/>
        </w:tabs>
        <w:spacing w:line="240" w:lineRule="auto" w:before="1" w:after="0"/>
        <w:ind w:left="810" w:right="0" w:hanging="351"/>
        <w:jc w:val="both"/>
        <w:rPr>
          <w:i/>
          <w:sz w:val="24"/>
        </w:rPr>
      </w:pPr>
      <w:r>
        <w:rPr>
          <w:i/>
          <w:sz w:val="24"/>
        </w:rPr>
        <w:t>Proposta Orçamentária referente ao exercício</w:t>
      </w:r>
      <w:r>
        <w:rPr>
          <w:i/>
          <w:spacing w:val="-1"/>
          <w:sz w:val="24"/>
        </w:rPr>
        <w:t> </w:t>
      </w:r>
      <w:r>
        <w:rPr>
          <w:i/>
          <w:sz w:val="24"/>
        </w:rPr>
        <w:t>2014</w:t>
      </w:r>
    </w:p>
    <w:p>
      <w:pPr>
        <w:pStyle w:val="BodyText"/>
        <w:spacing w:before="120"/>
        <w:ind w:left="102" w:right="119"/>
        <w:jc w:val="both"/>
      </w:pPr>
      <w:r>
        <w:rPr/>
        <w:t>A Proposta Orçamentária do exercício 2014 deste Regional foi disponibilizada pela SOF, por mensagem eletrônica, após solicitação desta SEAUD.</w:t>
      </w:r>
    </w:p>
    <w:p>
      <w:pPr>
        <w:pStyle w:val="BodyText"/>
        <w:spacing w:before="120"/>
        <w:ind w:left="102" w:right="116"/>
        <w:jc w:val="both"/>
      </w:pPr>
      <w:r>
        <w:rPr/>
        <w:t>O referido documento serviu para cotejar as informações constantes do Plano de Contratações quanto ao objeto da contratação e a fonte de recurso informada no plano, bem como para aferir a existência de contratações previstas na proposta orçamentária e não incluídas no Plano de Contratações e vice-versa.</w:t>
      </w:r>
    </w:p>
    <w:p>
      <w:pPr>
        <w:spacing w:after="0"/>
        <w:jc w:val="both"/>
        <w:sectPr>
          <w:pgSz w:w="11910" w:h="16840"/>
          <w:pgMar w:header="403" w:footer="813" w:top="1540" w:bottom="1000" w:left="1600" w:right="1580"/>
        </w:sectPr>
      </w:pPr>
    </w:p>
    <w:p>
      <w:pPr>
        <w:pStyle w:val="BodyText"/>
        <w:spacing w:before="11"/>
        <w:rPr>
          <w:sz w:val="21"/>
        </w:rPr>
      </w:pPr>
    </w:p>
    <w:p>
      <w:pPr>
        <w:pStyle w:val="BodyText"/>
        <w:spacing w:before="90"/>
        <w:ind w:left="102" w:right="119"/>
        <w:jc w:val="both"/>
      </w:pPr>
      <w:r>
        <w:rPr/>
        <w:t>Impende registrar, ainda, a partir da análise dos referidos documentos</w:t>
      </w:r>
      <w:r>
        <w:rPr>
          <w:color w:val="3333FF"/>
        </w:rPr>
        <w:t>, </w:t>
      </w:r>
      <w:r>
        <w:rPr/>
        <w:t>que a contratação referente à aquisição dos </w:t>
      </w:r>
      <w:r>
        <w:rPr>
          <w:i/>
        </w:rPr>
        <w:t>links </w:t>
      </w:r>
      <w:r>
        <w:rPr/>
        <w:t>de comunicação consta da proposta orçamentária, mas não foi incluída no plano.</w:t>
      </w:r>
    </w:p>
    <w:p>
      <w:pPr>
        <w:pStyle w:val="BodyText"/>
        <w:spacing w:before="120"/>
        <w:ind w:left="102" w:right="116"/>
        <w:jc w:val="both"/>
      </w:pPr>
      <w:r>
        <w:rPr/>
        <w:t>Conforme informação da área de TI, não houve sua inclusão porque o orçamento dessa contratação foi proveniente de remanejamento do </w:t>
      </w:r>
      <w:r>
        <w:rPr>
          <w:i/>
        </w:rPr>
        <w:t>Backbone </w:t>
      </w:r>
      <w:r>
        <w:rPr/>
        <w:t>Secundário e devido à própria sistemática adotada para elaboração do plano, que requer solicitação prévia de crédito para inclusão da demanda no planejamento anual de contratações.</w:t>
      </w:r>
    </w:p>
    <w:p>
      <w:pPr>
        <w:pStyle w:val="BodyText"/>
        <w:spacing w:before="117"/>
        <w:ind w:left="102" w:right="115"/>
        <w:jc w:val="both"/>
      </w:pPr>
      <w:r>
        <w:rPr/>
        <w:t>Ressalte-se que a contratação para </w:t>
      </w:r>
      <w:r>
        <w:rPr>
          <w:i/>
        </w:rPr>
        <w:t>links </w:t>
      </w:r>
      <w:r>
        <w:rPr/>
        <w:t>de acesso à internet irá substituir o atual contrato do </w:t>
      </w:r>
      <w:r>
        <w:rPr>
          <w:i/>
        </w:rPr>
        <w:t>Backbone </w:t>
      </w:r>
      <w:r>
        <w:rPr/>
        <w:t>Secundário. Para tanto, será necessário contratar dois </w:t>
      </w:r>
      <w:r>
        <w:rPr>
          <w:i/>
        </w:rPr>
        <w:t>links </w:t>
      </w:r>
      <w:r>
        <w:rPr/>
        <w:t>redundantes de acesso à Internet com velocidade de 40 Mbps. O orçamento para as referidas contratações foi lançado com o nome de “Ampliação dos </w:t>
      </w:r>
      <w:r>
        <w:rPr>
          <w:i/>
        </w:rPr>
        <w:t>links </w:t>
      </w:r>
      <w:r>
        <w:rPr/>
        <w:t>do </w:t>
      </w:r>
      <w:r>
        <w:rPr>
          <w:i/>
        </w:rPr>
        <w:t>Backbone </w:t>
      </w:r>
      <w:r>
        <w:rPr/>
        <w:t>Secundário”. O primeiro </w:t>
      </w:r>
      <w:r>
        <w:rPr>
          <w:i/>
        </w:rPr>
        <w:t>link </w:t>
      </w:r>
      <w:r>
        <w:rPr/>
        <w:t>já foi instalado e está em vias de recebimento definitivo. O segundo encontra-se em processo de implantação. O custo anual desses </w:t>
      </w:r>
      <w:r>
        <w:rPr>
          <w:i/>
        </w:rPr>
        <w:t>links </w:t>
      </w:r>
      <w:r>
        <w:rPr/>
        <w:t>será de R$ 182.016,00 (cento e oitenta e dois mil e dezesseis</w:t>
      </w:r>
      <w:r>
        <w:rPr>
          <w:spacing w:val="-4"/>
        </w:rPr>
        <w:t> </w:t>
      </w:r>
      <w:r>
        <w:rPr/>
        <w:t>reais).</w:t>
      </w:r>
    </w:p>
    <w:p>
      <w:pPr>
        <w:pStyle w:val="BodyText"/>
        <w:spacing w:before="121"/>
        <w:ind w:left="102" w:right="117"/>
        <w:jc w:val="both"/>
      </w:pPr>
      <w:r>
        <w:rPr/>
        <w:t>Quanto à contratação de </w:t>
      </w:r>
      <w:r>
        <w:rPr>
          <w:i/>
        </w:rPr>
        <w:t>links </w:t>
      </w:r>
      <w:r>
        <w:rPr/>
        <w:t>de acesso à internet móvel, a STI informou que os serviços de comunicação de dados dos pontos remotos providos pelo atual contrato do </w:t>
      </w:r>
      <w:r>
        <w:rPr>
          <w:i/>
        </w:rPr>
        <w:t>Backbone </w:t>
      </w:r>
      <w:r>
        <w:rPr/>
        <w:t>Secundário se dão por meio de um </w:t>
      </w:r>
      <w:r>
        <w:rPr>
          <w:i/>
        </w:rPr>
        <w:t>link </w:t>
      </w:r>
      <w:r>
        <w:rPr/>
        <w:t>dedicado, chamado de principal, e de outro de acesso discado, chamado de </w:t>
      </w:r>
      <w:r>
        <w:rPr>
          <w:i/>
        </w:rPr>
        <w:t>dial-backup</w:t>
      </w:r>
      <w:r>
        <w:rPr/>
        <w:t>. O segundo entra em operação se o primeiro ficar fora do</w:t>
      </w:r>
      <w:r>
        <w:rPr>
          <w:spacing w:val="-2"/>
        </w:rPr>
        <w:t> </w:t>
      </w:r>
      <w:r>
        <w:rPr/>
        <w:t>ar.</w:t>
      </w:r>
    </w:p>
    <w:p>
      <w:pPr>
        <w:pStyle w:val="BodyText"/>
        <w:spacing w:before="120"/>
        <w:ind w:left="102" w:right="114"/>
        <w:jc w:val="both"/>
      </w:pPr>
      <w:r>
        <w:rPr/>
        <w:t>Registre-se que o referido contrato completará 60 meses em janeiro de 2015 e não poderá ser renovado. Diferentemente do atual contrato, a contratação da redundância (</w:t>
      </w:r>
      <w:r>
        <w:rPr>
          <w:i/>
        </w:rPr>
        <w:t>link </w:t>
      </w:r>
      <w:r>
        <w:rPr/>
        <w:t>de </w:t>
      </w:r>
      <w:r>
        <w:rPr>
          <w:i/>
        </w:rPr>
        <w:t>backup</w:t>
      </w:r>
      <w:r>
        <w:rPr/>
        <w:t>) do novo </w:t>
      </w:r>
      <w:r>
        <w:rPr>
          <w:i/>
        </w:rPr>
        <w:t>link </w:t>
      </w:r>
      <w:r>
        <w:rPr/>
        <w:t>principal se dará separadamente, pois não necessita estar atrelada a este. Além disso, por se tratar de tecnologia de acesso móvel à Internet (2G e 3G), sua contratação é mais simples, pois deve seguir o padrão de mercado (o mesmo para consumidor comum) estabelecido pela ANATEL. A instalação do novo </w:t>
      </w:r>
      <w:r>
        <w:rPr>
          <w:i/>
        </w:rPr>
        <w:t>link </w:t>
      </w:r>
      <w:r>
        <w:rPr/>
        <w:t>principal e de sua redundância será gradual com a consequente desativação do </w:t>
      </w:r>
      <w:r>
        <w:rPr>
          <w:i/>
        </w:rPr>
        <w:t>link </w:t>
      </w:r>
      <w:r>
        <w:rPr/>
        <w:t>do contrato em término de vigência. Por esse motivo, os recursos para pagamento desses novos serviços serão provenientes do orçamento do atual contrato do </w:t>
      </w:r>
      <w:r>
        <w:rPr>
          <w:i/>
        </w:rPr>
        <w:t>Backbone </w:t>
      </w:r>
      <w:r>
        <w:rPr/>
        <w:t>Secundário, não havendo, portanto, necessidade de solicitação de novo orçamento.</w:t>
      </w:r>
    </w:p>
    <w:p>
      <w:pPr>
        <w:pStyle w:val="BodyText"/>
        <w:spacing w:before="121"/>
        <w:ind w:left="102" w:right="117"/>
        <w:jc w:val="both"/>
      </w:pPr>
      <w:r>
        <w:rPr/>
        <w:t>Já em relação à modernização do </w:t>
      </w:r>
      <w:r>
        <w:rPr>
          <w:i/>
        </w:rPr>
        <w:t>Datacenter </w:t>
      </w:r>
      <w:r>
        <w:rPr/>
        <w:t>– Redundância, no final de 2013 o Tribunal adquiriu novos equipamentos para modernizar seu Centro de Processamento  de Dados (CPD). A fim de mitigar riscos e garantir alta disponibilidade dos serviços de TIC que se tornam mais críticos a cada ano, bem como evitar a perda de informações digitais importantes, fez-se necessária a criação de uma estrutura de redundância desses equipamentos e sistemas. Para tanto, foi iniciado processo de registro de preços dos itens faltantes que deveriam compor a redundância. Não houve orçamento previsto, motivo pelo qual se está fazendo um registro de preços, abrangendo dois exercícios financeiros.</w:t>
      </w:r>
    </w:p>
    <w:p>
      <w:pPr>
        <w:pStyle w:val="BodyText"/>
        <w:spacing w:before="121"/>
        <w:ind w:left="102" w:right="119"/>
        <w:jc w:val="both"/>
      </w:pPr>
      <w:r>
        <w:rPr/>
        <w:t>A contratação de manutenção do sistema de indexação de registros funcionais, cuja solicitação de crédito foi de R$ 38.400,00 (trinta e oito mil e quatrocentos reais) restou prejudicada, uma vez que a empresa que desenvolveu o </w:t>
      </w:r>
      <w:r>
        <w:rPr>
          <w:i/>
        </w:rPr>
        <w:t>software </w:t>
      </w:r>
      <w:r>
        <w:rPr/>
        <w:t>não forneceu o código- fonte, o que impossibilitou que outras empresas executassem o serviço. Dessa forma, o valor originalmente previsto para a despesa foi remanejado para outras demandas existentes.</w:t>
      </w:r>
    </w:p>
    <w:p>
      <w:pPr>
        <w:spacing w:after="0"/>
        <w:jc w:val="both"/>
        <w:sectPr>
          <w:pgSz w:w="11910" w:h="16840"/>
          <w:pgMar w:header="403" w:footer="813" w:top="1540" w:bottom="1000" w:left="1600" w:right="1580"/>
        </w:sectPr>
      </w:pPr>
    </w:p>
    <w:p>
      <w:pPr>
        <w:pStyle w:val="BodyText"/>
        <w:spacing w:before="11"/>
        <w:rPr>
          <w:sz w:val="21"/>
        </w:rPr>
      </w:pPr>
    </w:p>
    <w:p>
      <w:pPr>
        <w:pStyle w:val="ListParagraph"/>
        <w:numPr>
          <w:ilvl w:val="1"/>
          <w:numId w:val="2"/>
        </w:numPr>
        <w:tabs>
          <w:tab w:pos="810" w:val="left" w:leader="none"/>
        </w:tabs>
        <w:spacing w:line="240" w:lineRule="auto" w:before="90" w:after="0"/>
        <w:ind w:left="814" w:right="119" w:hanging="356"/>
        <w:jc w:val="both"/>
        <w:rPr>
          <w:i/>
          <w:sz w:val="24"/>
        </w:rPr>
      </w:pPr>
      <w:r>
        <w:rPr>
          <w:i/>
          <w:sz w:val="24"/>
        </w:rPr>
        <w:t>Manifestação da STI em atendimento às Requisições de Documentos ou </w:t>
      </w:r>
      <w:r>
        <w:rPr>
          <w:i/>
          <w:sz w:val="24"/>
        </w:rPr>
        <w:t>Informações</w:t>
      </w:r>
      <w:r>
        <w:rPr>
          <w:i/>
          <w:spacing w:val="1"/>
          <w:sz w:val="24"/>
        </w:rPr>
        <w:t> </w:t>
      </w:r>
      <w:r>
        <w:rPr>
          <w:i/>
          <w:sz w:val="24"/>
        </w:rPr>
        <w:t>(RDIs)</w:t>
      </w:r>
    </w:p>
    <w:p>
      <w:pPr>
        <w:pStyle w:val="BodyText"/>
        <w:spacing w:before="120"/>
        <w:ind w:left="102" w:right="116"/>
        <w:jc w:val="both"/>
      </w:pPr>
      <w:r>
        <w:rPr/>
        <w:t>Com o intuito de obter informações que pudessem agregar valor à avaliação da aderência das contratações de STIC realizadas por este Tribunal às diretrizes estabelecidas pela Resolução CNJ nº 182/2013 objetivo do presente procedimento de auditoria, foram emitidas RDI’s, descritas adiante, encaminhadas à STI, cujo atendimento ocorreu através de manifestações expressas, por meio</w:t>
      </w:r>
      <w:r>
        <w:rPr>
          <w:spacing w:val="1"/>
        </w:rPr>
        <w:t> </w:t>
      </w:r>
      <w:r>
        <w:rPr/>
        <w:t>eletrônico.</w:t>
      </w:r>
    </w:p>
    <w:p>
      <w:pPr>
        <w:pStyle w:val="BodyText"/>
        <w:spacing w:before="7"/>
        <w:rPr>
          <w:sz w:val="20"/>
        </w:rPr>
      </w:pPr>
    </w:p>
    <w:p>
      <w:pPr>
        <w:pStyle w:val="BodyText"/>
        <w:ind w:left="102" w:right="115"/>
        <w:jc w:val="both"/>
      </w:pPr>
      <w:r>
        <w:rPr/>
        <w:t>A RDI nº 55/2014/SCI/COGES/SEAUD, datada de 10 de setembro, solicitou manifestação quanto às questões de auditoria elaboradas e constantes da matriz de planejamento, com o objetivo de verificar o cumprimento, pelo TRE-BA, da implantação das diretrizes estabelecidas na supracitada Resolução. Em resposta, a STI informou que tem buscado atender a algumas das diretrizes previstas na Resolução 182/2013, mesmo sem seguir um procedimento formalmente definido e sem equipe de planejamento designada. Informou ainda que, tentando mitigar potenciais riscos à licitação e contratação, tem contemplado, nos Termos de Referência, os requisitos estabelecidos no referido normativo. Como exemplo citou os TRs dos processos nº</w:t>
      </w:r>
      <w:r>
        <w:rPr>
          <w:vertAlign w:val="superscript"/>
        </w:rPr>
        <w:t>s</w:t>
      </w:r>
      <w:r>
        <w:rPr>
          <w:vertAlign w:val="baseline"/>
        </w:rPr>
        <w:t> 13.699/2013 – Contratação de Consultoria em Governança de TI; 5.750/2014 – Contratação de </w:t>
      </w:r>
      <w:r>
        <w:rPr>
          <w:i/>
          <w:vertAlign w:val="baseline"/>
        </w:rPr>
        <w:t>Links </w:t>
      </w:r>
      <w:r>
        <w:rPr>
          <w:vertAlign w:val="baseline"/>
        </w:rPr>
        <w:t>de Comunicação de Pontos Remotos (</w:t>
      </w:r>
      <w:r>
        <w:rPr>
          <w:i/>
          <w:vertAlign w:val="baseline"/>
        </w:rPr>
        <w:t>Backbone </w:t>
      </w:r>
      <w:r>
        <w:rPr>
          <w:vertAlign w:val="baseline"/>
        </w:rPr>
        <w:t>Secundário); e 19.308/2014 – Aquisição de Solução de </w:t>
      </w:r>
      <w:r>
        <w:rPr>
          <w:i/>
          <w:vertAlign w:val="baseline"/>
        </w:rPr>
        <w:t>Datacenter </w:t>
      </w:r>
      <w:r>
        <w:rPr>
          <w:vertAlign w:val="baseline"/>
        </w:rPr>
        <w:t>em</w:t>
      </w:r>
      <w:r>
        <w:rPr>
          <w:spacing w:val="-2"/>
          <w:vertAlign w:val="baseline"/>
        </w:rPr>
        <w:t> </w:t>
      </w:r>
      <w:r>
        <w:rPr>
          <w:vertAlign w:val="baseline"/>
        </w:rPr>
        <w:t>Contêiner.</w:t>
      </w:r>
    </w:p>
    <w:p>
      <w:pPr>
        <w:pStyle w:val="BodyText"/>
        <w:rPr>
          <w:sz w:val="21"/>
        </w:rPr>
      </w:pPr>
    </w:p>
    <w:p>
      <w:pPr>
        <w:pStyle w:val="BodyText"/>
        <w:ind w:left="102" w:right="117"/>
        <w:jc w:val="both"/>
      </w:pPr>
      <w:r>
        <w:rPr/>
        <w:t>Merece registro, ainda, a informação constante da manifestação da STI quanto à proposta feita ao Presidente do Comitê Gestor de Tecnologia da Informação </w:t>
      </w:r>
      <w:r>
        <w:rPr>
          <w:color w:val="0000CC"/>
        </w:rPr>
        <w:t>–</w:t>
      </w:r>
      <w:r>
        <w:rPr/>
        <w:t>, recentemente constituído no âmbito deste Tribunal, por meio da Resolução nº 13, de 27 de agosto de 2014, composto pelos titulares da Diretoria Geral, Secretaria da Corregedoria Regional Eleitoral, Secretaria Judiciária, Secretaria de Gestão de Pessoas, Secretaria de Gestão Administrativa, Secretaria de Gestão de Serviços, Secretaria de Orçamento, Finanças e Contabilidade, Secretaria de Tecnologia da Informação e Coordenadoria de Planejamento, Estratégia e Gestão – para inclusão do tema “Implementação das diretrizes da Resolução/CNJ nº 182/2013” na pauta de discussão  da sua 1ª Reunião, convocada para o dia 22 de setembro deste</w:t>
      </w:r>
      <w:r>
        <w:rPr>
          <w:spacing w:val="-5"/>
        </w:rPr>
        <w:t> </w:t>
      </w:r>
      <w:r>
        <w:rPr/>
        <w:t>exercício.</w:t>
      </w:r>
    </w:p>
    <w:p>
      <w:pPr>
        <w:pStyle w:val="BodyText"/>
        <w:spacing w:before="120"/>
        <w:ind w:left="102" w:right="116"/>
        <w:jc w:val="both"/>
      </w:pPr>
      <w:r>
        <w:rPr/>
        <w:t>Ressalte-se que é relevante que a equipe seja escolhida com cuidado, para que, no conjunto, detenha conhecimentos do arcabouço legal vigente, dos normativos, da jurisprudência e da solução a ser contratada.</w:t>
      </w:r>
    </w:p>
    <w:p>
      <w:pPr>
        <w:pStyle w:val="BodyText"/>
        <w:spacing w:before="121"/>
        <w:ind w:left="102" w:right="115"/>
        <w:jc w:val="both"/>
      </w:pPr>
      <w:r>
        <w:rPr/>
        <w:t>Concluiu-se, ainda, da análise da manifestação, pela existência de algumas desconformidades que serão registradas no capítulo 3 deste relatório.</w:t>
      </w:r>
    </w:p>
    <w:p>
      <w:pPr>
        <w:pStyle w:val="BodyText"/>
        <w:spacing w:before="120"/>
        <w:ind w:left="102" w:right="119"/>
        <w:jc w:val="both"/>
      </w:pPr>
      <w:r>
        <w:rPr/>
        <w:t>Não obstante, foi possível aferir que a unidade técnica tem tomado iniciativas  no sentido de envolver o Órgão na implantação das diretrizes estabelecidas pelo CNJ, no âmbito deste</w:t>
      </w:r>
      <w:r>
        <w:rPr>
          <w:spacing w:val="-2"/>
        </w:rPr>
        <w:t> </w:t>
      </w:r>
      <w:r>
        <w:rPr/>
        <w:t>Tribunal.</w:t>
      </w:r>
    </w:p>
    <w:p>
      <w:pPr>
        <w:pStyle w:val="BodyText"/>
        <w:spacing w:before="10"/>
        <w:rPr>
          <w:sz w:val="20"/>
        </w:rPr>
      </w:pPr>
    </w:p>
    <w:p>
      <w:pPr>
        <w:pStyle w:val="ListParagraph"/>
        <w:numPr>
          <w:ilvl w:val="1"/>
          <w:numId w:val="2"/>
        </w:numPr>
        <w:tabs>
          <w:tab w:pos="810" w:val="left" w:leader="none"/>
        </w:tabs>
        <w:spacing w:line="240" w:lineRule="auto" w:before="0" w:after="0"/>
        <w:ind w:left="814" w:right="114" w:hanging="356"/>
        <w:jc w:val="both"/>
        <w:rPr>
          <w:i/>
          <w:sz w:val="24"/>
        </w:rPr>
      </w:pPr>
      <w:r>
        <w:rPr>
          <w:i/>
          <w:sz w:val="24"/>
        </w:rPr>
        <w:t>Planejamento Estratégico Institucional (PEI) do TRE-BA 2012-2014 e </w:t>
      </w:r>
      <w:r>
        <w:rPr>
          <w:i/>
          <w:sz w:val="24"/>
        </w:rPr>
        <w:t>Planejamento Estratégico de Tecnologia da Informação</w:t>
      </w:r>
      <w:r>
        <w:rPr>
          <w:i/>
          <w:spacing w:val="1"/>
          <w:sz w:val="24"/>
        </w:rPr>
        <w:t> </w:t>
      </w:r>
      <w:r>
        <w:rPr>
          <w:i/>
          <w:sz w:val="24"/>
        </w:rPr>
        <w:t>(PETI)</w:t>
      </w:r>
    </w:p>
    <w:p>
      <w:pPr>
        <w:pStyle w:val="BodyText"/>
        <w:spacing w:before="120"/>
        <w:ind w:left="102" w:right="120"/>
        <w:jc w:val="both"/>
      </w:pPr>
      <w:r>
        <w:rPr/>
        <w:t>O plano de contratações está em harmonia com o Planejamento Estratégico Institucional (PEI) do TRE-BA vigente, instituído por meio da Resolução Administrativa nº 13/2012 para orientação dos rumos da gestão no triênio compreendido entre 2012-2014, contemplando o objetivo “garantir a infraestrutura apropriada às atividades institucionais”, alinhado ao objetivo definido no Planejamento Estratégico de</w:t>
      </w:r>
    </w:p>
    <w:p>
      <w:pPr>
        <w:spacing w:after="0"/>
        <w:jc w:val="both"/>
        <w:sectPr>
          <w:pgSz w:w="11910" w:h="16840"/>
          <w:pgMar w:header="403" w:footer="813" w:top="1540" w:bottom="1000" w:left="1600" w:right="1580"/>
        </w:sectPr>
      </w:pPr>
    </w:p>
    <w:p>
      <w:pPr>
        <w:pStyle w:val="BodyText"/>
        <w:spacing w:before="11"/>
        <w:rPr>
          <w:sz w:val="21"/>
        </w:rPr>
      </w:pPr>
    </w:p>
    <w:p>
      <w:pPr>
        <w:pStyle w:val="BodyText"/>
        <w:spacing w:before="90"/>
        <w:ind w:left="102" w:right="117"/>
        <w:jc w:val="both"/>
      </w:pPr>
      <w:r>
        <w:rPr/>
        <w:t>Tecnologia da Informação “garantir a infraestrutura apropriada às atividades judiciais e administrativas”.</w:t>
      </w:r>
    </w:p>
    <w:p>
      <w:pPr>
        <w:pStyle w:val="BodyText"/>
        <w:spacing w:before="120"/>
        <w:ind w:left="102" w:right="121"/>
        <w:jc w:val="both"/>
      </w:pPr>
      <w:r>
        <w:rPr/>
        <w:t>Verificou-se que a elaboração do plano de contratações para o exercício 2014, aprovado em 10/12/2013, contemplou as contratações necessárias ao alcance dos objetivos estabelecidos nos planejamentos estratégicos do Órgão e de Tecnologia da Informação.</w:t>
      </w:r>
    </w:p>
    <w:p>
      <w:pPr>
        <w:pStyle w:val="BodyText"/>
        <w:spacing w:before="117"/>
        <w:ind w:left="102" w:right="115"/>
        <w:jc w:val="both"/>
      </w:pPr>
      <w:r>
        <w:rPr/>
        <w:t>Importante consignar, por oportuno, a ausência de indicadores no PETI voltados ao monitoramento dos objetivos ali consignados e a inexistência de plano diretor de Tecnologia da Informação.</w:t>
      </w:r>
    </w:p>
    <w:p>
      <w:pPr>
        <w:pStyle w:val="BodyText"/>
        <w:spacing w:before="11"/>
        <w:rPr>
          <w:sz w:val="20"/>
        </w:rPr>
      </w:pPr>
    </w:p>
    <w:p>
      <w:pPr>
        <w:pStyle w:val="ListParagraph"/>
        <w:numPr>
          <w:ilvl w:val="1"/>
          <w:numId w:val="2"/>
        </w:numPr>
        <w:tabs>
          <w:tab w:pos="810" w:val="left" w:leader="none"/>
        </w:tabs>
        <w:spacing w:line="240" w:lineRule="auto" w:before="0" w:after="0"/>
        <w:ind w:left="810" w:right="0" w:hanging="351"/>
        <w:jc w:val="both"/>
        <w:rPr>
          <w:i/>
          <w:sz w:val="24"/>
        </w:rPr>
      </w:pPr>
      <w:r>
        <w:rPr>
          <w:i/>
          <w:sz w:val="24"/>
        </w:rPr>
        <w:t>Papéis de Trabalho elaborados pela</w:t>
      </w:r>
      <w:r>
        <w:rPr>
          <w:i/>
          <w:spacing w:val="-1"/>
          <w:sz w:val="24"/>
        </w:rPr>
        <w:t> </w:t>
      </w:r>
      <w:r>
        <w:rPr>
          <w:i/>
          <w:sz w:val="24"/>
        </w:rPr>
        <w:t>auditoria</w:t>
      </w:r>
    </w:p>
    <w:p>
      <w:pPr>
        <w:pStyle w:val="BodyText"/>
        <w:spacing w:before="120"/>
        <w:ind w:left="102" w:right="117"/>
        <w:jc w:val="both"/>
      </w:pPr>
      <w:r>
        <w:rPr/>
        <w:t>No intuito de viabilizar a verificação da aderência às diretrizes estabelecidas na Resolução CNJ Nº 182/2013, a equipe de auditoria procedeu à elaboração de papéis de trabalho de modo a contemplar as questões de auditoria constantes da matriz de planejamento proposta pelo CNJ.</w:t>
      </w:r>
    </w:p>
    <w:p>
      <w:pPr>
        <w:pStyle w:val="BodyText"/>
        <w:spacing w:before="120"/>
        <w:ind w:left="102" w:right="121"/>
        <w:jc w:val="both"/>
      </w:pPr>
      <w:r>
        <w:rPr/>
        <w:t>Nesse sentido foram elaborados o PT01- Verificação da Implantação das Diretrizes CNJ e PT02 - Verificação da implementação do §3º da Resolução CNJ Nº 182/2013.</w:t>
      </w:r>
    </w:p>
    <w:p>
      <w:pPr>
        <w:pStyle w:val="BodyText"/>
        <w:spacing w:before="120"/>
        <w:ind w:left="102" w:right="118"/>
        <w:jc w:val="both"/>
      </w:pPr>
      <w:r>
        <w:rPr/>
        <w:t>Assim, aplicados os papéis de trabalho, percebeu-se de forma clara a inobservância à legislação de regência, no que tange à elaboração de documentos necessários à instrução das contratações de Solução de TI; e a ausência de estudos técnicos preliminares formais à elaboração de Termos de Referência, consoante exigência constante do §3º, do art. 18, da Resolução CNJ nº 182/2013.</w:t>
      </w:r>
    </w:p>
    <w:p>
      <w:pPr>
        <w:pStyle w:val="BodyText"/>
        <w:spacing w:before="9"/>
        <w:rPr>
          <w:sz w:val="31"/>
        </w:rPr>
      </w:pPr>
    </w:p>
    <w:p>
      <w:pPr>
        <w:pStyle w:val="Heading1"/>
        <w:numPr>
          <w:ilvl w:val="0"/>
          <w:numId w:val="2"/>
        </w:numPr>
        <w:tabs>
          <w:tab w:pos="810" w:val="left" w:leader="none"/>
        </w:tabs>
        <w:spacing w:line="240" w:lineRule="auto" w:before="0" w:after="0"/>
        <w:ind w:left="810" w:right="0" w:hanging="351"/>
        <w:jc w:val="both"/>
      </w:pPr>
      <w:bookmarkStart w:name="_bookmark2" w:id="5"/>
      <w:bookmarkEnd w:id="5"/>
      <w:r>
        <w:rPr>
          <w:b w:val="0"/>
        </w:rPr>
      </w:r>
      <w:bookmarkStart w:name="_bookmark2" w:id="6"/>
      <w:bookmarkEnd w:id="6"/>
      <w:r>
        <w:rPr/>
        <w:t>A</w:t>
      </w:r>
      <w:r>
        <w:rPr/>
        <w:t>CHADOS DE</w:t>
      </w:r>
      <w:r>
        <w:rPr>
          <w:spacing w:val="-1"/>
        </w:rPr>
        <w:t> </w:t>
      </w:r>
      <w:r>
        <w:rPr/>
        <w:t>AUDITORIA</w:t>
      </w:r>
    </w:p>
    <w:p>
      <w:pPr>
        <w:pStyle w:val="BodyText"/>
        <w:spacing w:before="5"/>
        <w:rPr>
          <w:b/>
          <w:sz w:val="20"/>
        </w:rPr>
      </w:pPr>
    </w:p>
    <w:p>
      <w:pPr>
        <w:pStyle w:val="BodyText"/>
        <w:ind w:left="102" w:right="115"/>
        <w:jc w:val="both"/>
      </w:pPr>
      <w:r>
        <w:rPr/>
        <w:t>Ultimadas as etapas reservadas ao exame, análise e cotejo de documentos, registros e demais fontes de informação utilizadas para elucidação das questões de auditoria propostas, observados os critérios referenciais estabelecidos pela Resolução CNJ nº 182, de 17 de outubro de 2013 e pelas Resoluções TRE nº 3/2010, que aprovou o PETI e nº 13/2012, que aprovou o PEI, restaram evidenciados os seguintes achados:</w:t>
      </w:r>
    </w:p>
    <w:p>
      <w:pPr>
        <w:pStyle w:val="BodyText"/>
        <w:spacing w:before="10"/>
        <w:rPr>
          <w:sz w:val="20"/>
        </w:rPr>
      </w:pPr>
    </w:p>
    <w:p>
      <w:pPr>
        <w:pStyle w:val="ListParagraph"/>
        <w:numPr>
          <w:ilvl w:val="1"/>
          <w:numId w:val="3"/>
        </w:numPr>
        <w:tabs>
          <w:tab w:pos="522" w:val="left" w:leader="none"/>
        </w:tabs>
        <w:spacing w:line="240" w:lineRule="auto" w:before="0" w:after="0"/>
        <w:ind w:left="522" w:right="0" w:hanging="420"/>
        <w:jc w:val="both"/>
        <w:rPr>
          <w:sz w:val="24"/>
        </w:rPr>
      </w:pPr>
      <w:r>
        <w:rPr>
          <w:i/>
          <w:sz w:val="24"/>
        </w:rPr>
        <w:t>Ausência de formalização de Estudos Técnicos</w:t>
      </w:r>
      <w:r>
        <w:rPr>
          <w:i/>
          <w:spacing w:val="-2"/>
          <w:sz w:val="24"/>
        </w:rPr>
        <w:t> </w:t>
      </w:r>
      <w:r>
        <w:rPr>
          <w:i/>
          <w:sz w:val="24"/>
        </w:rPr>
        <w:t>Preliminares</w:t>
      </w:r>
      <w:r>
        <w:rPr>
          <w:sz w:val="24"/>
        </w:rPr>
        <w:t>:</w:t>
      </w:r>
    </w:p>
    <w:p>
      <w:pPr>
        <w:pStyle w:val="ListParagraph"/>
        <w:numPr>
          <w:ilvl w:val="2"/>
          <w:numId w:val="3"/>
        </w:numPr>
        <w:tabs>
          <w:tab w:pos="810" w:val="left" w:leader="none"/>
        </w:tabs>
        <w:spacing w:line="240" w:lineRule="auto" w:before="121" w:after="0"/>
        <w:ind w:left="814" w:right="119" w:hanging="356"/>
        <w:jc w:val="both"/>
        <w:rPr>
          <w:sz w:val="24"/>
        </w:rPr>
      </w:pPr>
      <w:r>
        <w:rPr>
          <w:i/>
          <w:sz w:val="24"/>
        </w:rPr>
        <w:t>Situação encontrada: </w:t>
      </w:r>
      <w:r>
        <w:rPr>
          <w:sz w:val="24"/>
        </w:rPr>
        <w:t>inexistência de estudos técnicos preliminares formalizados, na fase de planejamento das contratações, contemplando: análise de viabilidade da contratação, sustentação do contrato, estratégia para a contratação e análise de riscos.</w:t>
      </w:r>
    </w:p>
    <w:p>
      <w:pPr>
        <w:pStyle w:val="ListParagraph"/>
        <w:numPr>
          <w:ilvl w:val="2"/>
          <w:numId w:val="3"/>
        </w:numPr>
        <w:tabs>
          <w:tab w:pos="810" w:val="left" w:leader="none"/>
        </w:tabs>
        <w:spacing w:line="240" w:lineRule="auto" w:before="120" w:after="0"/>
        <w:ind w:left="810" w:right="0" w:hanging="351"/>
        <w:jc w:val="both"/>
        <w:rPr>
          <w:sz w:val="24"/>
        </w:rPr>
      </w:pPr>
      <w:r>
        <w:rPr>
          <w:i/>
          <w:sz w:val="24"/>
        </w:rPr>
        <w:t>Critério(s</w:t>
      </w:r>
      <w:r>
        <w:rPr>
          <w:sz w:val="24"/>
        </w:rPr>
        <w:t>): inciso I, do art. 8º e art. 12, da Res. CNJ nº</w:t>
      </w:r>
      <w:r>
        <w:rPr>
          <w:spacing w:val="-3"/>
          <w:sz w:val="24"/>
        </w:rPr>
        <w:t> </w:t>
      </w:r>
      <w:r>
        <w:rPr>
          <w:sz w:val="24"/>
        </w:rPr>
        <w:t>182/2013.</w:t>
      </w:r>
    </w:p>
    <w:p>
      <w:pPr>
        <w:pStyle w:val="ListParagraph"/>
        <w:numPr>
          <w:ilvl w:val="2"/>
          <w:numId w:val="3"/>
        </w:numPr>
        <w:tabs>
          <w:tab w:pos="810" w:val="left" w:leader="none"/>
        </w:tabs>
        <w:spacing w:line="240" w:lineRule="auto" w:before="120" w:after="0"/>
        <w:ind w:left="814" w:right="115" w:hanging="356"/>
        <w:jc w:val="both"/>
        <w:rPr>
          <w:sz w:val="24"/>
        </w:rPr>
      </w:pPr>
      <w:r>
        <w:rPr>
          <w:i/>
          <w:sz w:val="24"/>
        </w:rPr>
        <w:t>Risco(s) e efeito(s): </w:t>
      </w:r>
      <w:r>
        <w:rPr>
          <w:sz w:val="24"/>
        </w:rPr>
        <w:t>limitação à competitividade, potencial desperdício de recursos públicos; potencial impossibilidade de execução da contratação; seleção de alternativa inadequada para o atendimento às necessidade do Órgão; impossibilidade de conferência do alinhamento entre a Resolução 182/2013 e os Termos de Referência</w:t>
      </w:r>
      <w:r>
        <w:rPr>
          <w:spacing w:val="-2"/>
          <w:sz w:val="24"/>
        </w:rPr>
        <w:t> </w:t>
      </w:r>
      <w:r>
        <w:rPr>
          <w:sz w:val="24"/>
        </w:rPr>
        <w:t>elaborados.</w:t>
      </w:r>
    </w:p>
    <w:p>
      <w:pPr>
        <w:pStyle w:val="ListParagraph"/>
        <w:numPr>
          <w:ilvl w:val="2"/>
          <w:numId w:val="3"/>
        </w:numPr>
        <w:tabs>
          <w:tab w:pos="810" w:val="left" w:leader="none"/>
        </w:tabs>
        <w:spacing w:line="240" w:lineRule="auto" w:before="120" w:after="0"/>
        <w:ind w:left="810" w:right="0" w:hanging="351"/>
        <w:jc w:val="both"/>
        <w:rPr>
          <w:sz w:val="24"/>
        </w:rPr>
      </w:pPr>
      <w:r>
        <w:rPr>
          <w:i/>
          <w:sz w:val="24"/>
        </w:rPr>
        <w:t>Causa(s): </w:t>
      </w:r>
      <w:r>
        <w:rPr>
          <w:sz w:val="24"/>
        </w:rPr>
        <w:t>inexperiência da área técnica e tempo hábil para</w:t>
      </w:r>
      <w:r>
        <w:rPr>
          <w:spacing w:val="-7"/>
          <w:sz w:val="24"/>
        </w:rPr>
        <w:t> </w:t>
      </w:r>
      <w:r>
        <w:rPr>
          <w:sz w:val="24"/>
        </w:rPr>
        <w:t>implementação.</w:t>
      </w:r>
    </w:p>
    <w:p>
      <w:pPr>
        <w:spacing w:after="0" w:line="240" w:lineRule="auto"/>
        <w:jc w:val="both"/>
        <w:rPr>
          <w:sz w:val="24"/>
        </w:rPr>
        <w:sectPr>
          <w:pgSz w:w="11910" w:h="16840"/>
          <w:pgMar w:header="403" w:footer="813" w:top="1540" w:bottom="1000" w:left="1600" w:right="1580"/>
        </w:sectPr>
      </w:pPr>
    </w:p>
    <w:p>
      <w:pPr>
        <w:pStyle w:val="BodyText"/>
        <w:spacing w:before="9"/>
        <w:rPr>
          <w:sz w:val="21"/>
        </w:rPr>
      </w:pPr>
    </w:p>
    <w:p>
      <w:pPr>
        <w:pStyle w:val="ListParagraph"/>
        <w:numPr>
          <w:ilvl w:val="2"/>
          <w:numId w:val="3"/>
        </w:numPr>
        <w:tabs>
          <w:tab w:pos="810" w:val="left" w:leader="none"/>
        </w:tabs>
        <w:spacing w:line="240" w:lineRule="auto" w:before="92" w:after="0"/>
        <w:ind w:left="814" w:right="123" w:hanging="356"/>
        <w:jc w:val="both"/>
        <w:rPr>
          <w:sz w:val="24"/>
        </w:rPr>
      </w:pPr>
      <w:r>
        <w:rPr>
          <w:i/>
          <w:sz w:val="24"/>
        </w:rPr>
        <w:t>Evidência(s): </w:t>
      </w:r>
      <w:r>
        <w:rPr>
          <w:sz w:val="24"/>
        </w:rPr>
        <w:t>considerações da STI, registradas na mensagem eletrônica em resposta a RDI nº 55/20014 e o próprio plano de contratações apresentado por meio do expediente nº</w:t>
      </w:r>
      <w:r>
        <w:rPr>
          <w:spacing w:val="-1"/>
          <w:sz w:val="24"/>
        </w:rPr>
        <w:t> </w:t>
      </w:r>
      <w:r>
        <w:rPr>
          <w:sz w:val="24"/>
        </w:rPr>
        <w:t>88.132/2013.</w:t>
      </w:r>
    </w:p>
    <w:p>
      <w:pPr>
        <w:pStyle w:val="BodyText"/>
        <w:spacing w:before="9"/>
        <w:rPr>
          <w:sz w:val="20"/>
        </w:rPr>
      </w:pPr>
    </w:p>
    <w:p>
      <w:pPr>
        <w:pStyle w:val="ListParagraph"/>
        <w:numPr>
          <w:ilvl w:val="1"/>
          <w:numId w:val="3"/>
        </w:numPr>
        <w:tabs>
          <w:tab w:pos="522" w:val="left" w:leader="none"/>
        </w:tabs>
        <w:spacing w:line="240" w:lineRule="auto" w:before="1" w:after="0"/>
        <w:ind w:left="522" w:right="0" w:hanging="420"/>
        <w:jc w:val="both"/>
        <w:rPr>
          <w:i/>
          <w:sz w:val="24"/>
        </w:rPr>
      </w:pPr>
      <w:r>
        <w:rPr>
          <w:i/>
          <w:sz w:val="24"/>
        </w:rPr>
        <w:t>Ausência de fixação de prazo para realização de Estudos Técnicos</w:t>
      </w:r>
      <w:r>
        <w:rPr>
          <w:i/>
          <w:spacing w:val="-5"/>
          <w:sz w:val="24"/>
        </w:rPr>
        <w:t> </w:t>
      </w:r>
      <w:r>
        <w:rPr>
          <w:i/>
          <w:sz w:val="24"/>
        </w:rPr>
        <w:t>Preliminares:</w:t>
      </w:r>
    </w:p>
    <w:p>
      <w:pPr>
        <w:pStyle w:val="ListParagraph"/>
        <w:numPr>
          <w:ilvl w:val="2"/>
          <w:numId w:val="3"/>
        </w:numPr>
        <w:tabs>
          <w:tab w:pos="810" w:val="left" w:leader="none"/>
        </w:tabs>
        <w:spacing w:line="240" w:lineRule="auto" w:before="120" w:after="0"/>
        <w:ind w:left="814" w:right="121" w:hanging="356"/>
        <w:jc w:val="both"/>
        <w:rPr>
          <w:sz w:val="24"/>
        </w:rPr>
      </w:pPr>
      <w:r>
        <w:rPr>
          <w:i/>
          <w:sz w:val="24"/>
        </w:rPr>
        <w:t>Situação encontrada: </w:t>
      </w:r>
      <w:r>
        <w:rPr>
          <w:sz w:val="24"/>
        </w:rPr>
        <w:t>em que pese conste campo específico, no Plano de Contratações institucional, para a indicação de prazo de entrega dos estudos técnicos preliminares para cada uma das aquisições pretendidas, este não foi preenchido pela unidade técnica.</w:t>
      </w:r>
    </w:p>
    <w:p>
      <w:pPr>
        <w:pStyle w:val="ListParagraph"/>
        <w:numPr>
          <w:ilvl w:val="2"/>
          <w:numId w:val="3"/>
        </w:numPr>
        <w:tabs>
          <w:tab w:pos="809" w:val="left" w:leader="none"/>
          <w:tab w:pos="810" w:val="left" w:leader="none"/>
        </w:tabs>
        <w:spacing w:line="240" w:lineRule="auto" w:before="118" w:after="0"/>
        <w:ind w:left="810" w:right="0" w:hanging="351"/>
        <w:jc w:val="left"/>
        <w:rPr>
          <w:sz w:val="24"/>
        </w:rPr>
      </w:pPr>
      <w:r>
        <w:rPr>
          <w:i/>
          <w:sz w:val="24"/>
        </w:rPr>
        <w:t>Critério(s): </w:t>
      </w:r>
      <w:r>
        <w:rPr>
          <w:sz w:val="24"/>
        </w:rPr>
        <w:t>inciso II, do §4, do art. 7º, da Res. CNJ nº</w:t>
      </w:r>
      <w:r>
        <w:rPr>
          <w:spacing w:val="2"/>
          <w:sz w:val="24"/>
        </w:rPr>
        <w:t> </w:t>
      </w:r>
      <w:r>
        <w:rPr>
          <w:sz w:val="24"/>
        </w:rPr>
        <w:t>182/2013.</w:t>
      </w:r>
    </w:p>
    <w:p>
      <w:pPr>
        <w:pStyle w:val="ListParagraph"/>
        <w:numPr>
          <w:ilvl w:val="2"/>
          <w:numId w:val="3"/>
        </w:numPr>
        <w:tabs>
          <w:tab w:pos="809" w:val="left" w:leader="none"/>
          <w:tab w:pos="810" w:val="left" w:leader="none"/>
        </w:tabs>
        <w:spacing w:line="240" w:lineRule="auto" w:before="120" w:after="0"/>
        <w:ind w:left="810" w:right="0" w:hanging="351"/>
        <w:jc w:val="left"/>
        <w:rPr>
          <w:sz w:val="24"/>
        </w:rPr>
      </w:pPr>
      <w:r>
        <w:rPr>
          <w:i/>
          <w:sz w:val="24"/>
        </w:rPr>
        <w:t>Risco(s) e efeito(s): </w:t>
      </w:r>
      <w:r>
        <w:rPr>
          <w:sz w:val="24"/>
        </w:rPr>
        <w:t>atrasos nas contratações, por ausência de</w:t>
      </w:r>
      <w:r>
        <w:rPr>
          <w:spacing w:val="-7"/>
          <w:sz w:val="24"/>
        </w:rPr>
        <w:t> </w:t>
      </w:r>
      <w:r>
        <w:rPr>
          <w:sz w:val="24"/>
        </w:rPr>
        <w:t>planejamento.</w:t>
      </w:r>
    </w:p>
    <w:p>
      <w:pPr>
        <w:pStyle w:val="ListParagraph"/>
        <w:numPr>
          <w:ilvl w:val="2"/>
          <w:numId w:val="3"/>
        </w:numPr>
        <w:tabs>
          <w:tab w:pos="809" w:val="left" w:leader="none"/>
          <w:tab w:pos="810" w:val="left" w:leader="none"/>
        </w:tabs>
        <w:spacing w:line="240" w:lineRule="auto" w:before="120" w:after="0"/>
        <w:ind w:left="810" w:right="0" w:hanging="351"/>
        <w:jc w:val="left"/>
        <w:rPr>
          <w:sz w:val="24"/>
        </w:rPr>
      </w:pPr>
      <w:r>
        <w:rPr>
          <w:i/>
          <w:sz w:val="24"/>
        </w:rPr>
        <w:t>Causa(s): </w:t>
      </w:r>
      <w:r>
        <w:rPr>
          <w:sz w:val="24"/>
        </w:rPr>
        <w:t>inexperiência da área técnica e possível carência de</w:t>
      </w:r>
      <w:r>
        <w:rPr>
          <w:spacing w:val="-10"/>
          <w:sz w:val="24"/>
        </w:rPr>
        <w:t> </w:t>
      </w:r>
      <w:r>
        <w:rPr>
          <w:sz w:val="24"/>
        </w:rPr>
        <w:t>planejamento</w:t>
      </w:r>
    </w:p>
    <w:p>
      <w:pPr>
        <w:pStyle w:val="ListParagraph"/>
        <w:numPr>
          <w:ilvl w:val="2"/>
          <w:numId w:val="3"/>
        </w:numPr>
        <w:tabs>
          <w:tab w:pos="810" w:val="left" w:leader="none"/>
        </w:tabs>
        <w:spacing w:line="240" w:lineRule="auto" w:before="120" w:after="0"/>
        <w:ind w:left="814" w:right="123" w:hanging="356"/>
        <w:jc w:val="both"/>
        <w:rPr>
          <w:sz w:val="24"/>
        </w:rPr>
      </w:pPr>
      <w:r>
        <w:rPr>
          <w:i/>
          <w:sz w:val="24"/>
        </w:rPr>
        <w:t>Evidência(s): </w:t>
      </w:r>
      <w:r>
        <w:rPr>
          <w:sz w:val="24"/>
        </w:rPr>
        <w:t>considerações da STI registradas na mensagem eletrônica em resposta à RDI nº 55/20014 e o próprio plano de contratações apresentado por meio do expediente nº</w:t>
      </w:r>
      <w:r>
        <w:rPr>
          <w:spacing w:val="-1"/>
          <w:sz w:val="24"/>
        </w:rPr>
        <w:t> </w:t>
      </w:r>
      <w:r>
        <w:rPr>
          <w:sz w:val="24"/>
        </w:rPr>
        <w:t>88.132/2013.</w:t>
      </w:r>
    </w:p>
    <w:p>
      <w:pPr>
        <w:pStyle w:val="BodyText"/>
        <w:spacing w:before="10"/>
        <w:rPr>
          <w:sz w:val="20"/>
        </w:rPr>
      </w:pPr>
    </w:p>
    <w:p>
      <w:pPr>
        <w:pStyle w:val="ListParagraph"/>
        <w:numPr>
          <w:ilvl w:val="1"/>
          <w:numId w:val="3"/>
        </w:numPr>
        <w:tabs>
          <w:tab w:pos="523" w:val="left" w:leader="none"/>
        </w:tabs>
        <w:spacing w:line="240" w:lineRule="auto" w:before="0" w:after="0"/>
        <w:ind w:left="522" w:right="0" w:hanging="421"/>
        <w:jc w:val="both"/>
        <w:rPr>
          <w:i/>
          <w:sz w:val="24"/>
        </w:rPr>
      </w:pPr>
      <w:r>
        <w:rPr>
          <w:i/>
          <w:sz w:val="24"/>
        </w:rPr>
        <w:t>Inexistência de equipe de planejamento de</w:t>
      </w:r>
      <w:r>
        <w:rPr>
          <w:i/>
          <w:spacing w:val="9"/>
          <w:sz w:val="24"/>
        </w:rPr>
        <w:t> </w:t>
      </w:r>
      <w:r>
        <w:rPr>
          <w:i/>
          <w:sz w:val="24"/>
        </w:rPr>
        <w:t>contratações:</w:t>
      </w:r>
    </w:p>
    <w:p>
      <w:pPr>
        <w:pStyle w:val="ListParagraph"/>
        <w:numPr>
          <w:ilvl w:val="2"/>
          <w:numId w:val="3"/>
        </w:numPr>
        <w:tabs>
          <w:tab w:pos="810" w:val="left" w:leader="none"/>
        </w:tabs>
        <w:spacing w:line="240" w:lineRule="auto" w:before="120" w:after="0"/>
        <w:ind w:left="814" w:right="114" w:hanging="356"/>
        <w:jc w:val="both"/>
        <w:rPr>
          <w:sz w:val="24"/>
        </w:rPr>
      </w:pPr>
      <w:r>
        <w:rPr>
          <w:i/>
          <w:sz w:val="24"/>
        </w:rPr>
        <w:t>Situação encontrada</w:t>
      </w:r>
      <w:r>
        <w:rPr>
          <w:sz w:val="24"/>
        </w:rPr>
        <w:t>: inexistência, no plano de contratações institucional, de designação de equipe de planejamento da</w:t>
      </w:r>
      <w:r>
        <w:rPr>
          <w:spacing w:val="-1"/>
          <w:sz w:val="24"/>
        </w:rPr>
        <w:t> </w:t>
      </w:r>
      <w:r>
        <w:rPr>
          <w:sz w:val="24"/>
        </w:rPr>
        <w:t>contratação.</w:t>
      </w:r>
    </w:p>
    <w:p>
      <w:pPr>
        <w:pStyle w:val="ListParagraph"/>
        <w:numPr>
          <w:ilvl w:val="2"/>
          <w:numId w:val="3"/>
        </w:numPr>
        <w:tabs>
          <w:tab w:pos="810" w:val="left" w:leader="none"/>
        </w:tabs>
        <w:spacing w:line="240" w:lineRule="auto" w:before="121" w:after="0"/>
        <w:ind w:left="810" w:right="0" w:hanging="351"/>
        <w:jc w:val="both"/>
        <w:rPr>
          <w:sz w:val="24"/>
        </w:rPr>
      </w:pPr>
      <w:r>
        <w:rPr>
          <w:i/>
          <w:sz w:val="24"/>
        </w:rPr>
        <w:t>Critério(s</w:t>
      </w:r>
      <w:r>
        <w:rPr>
          <w:sz w:val="24"/>
        </w:rPr>
        <w:t>): inciso IV, do parágrafo 7º do art. 12 da Resolução nº</w:t>
      </w:r>
      <w:r>
        <w:rPr>
          <w:spacing w:val="-4"/>
          <w:sz w:val="24"/>
        </w:rPr>
        <w:t> </w:t>
      </w:r>
      <w:r>
        <w:rPr>
          <w:sz w:val="24"/>
        </w:rPr>
        <w:t>182/2013.</w:t>
      </w:r>
    </w:p>
    <w:p>
      <w:pPr>
        <w:pStyle w:val="ListParagraph"/>
        <w:numPr>
          <w:ilvl w:val="2"/>
          <w:numId w:val="3"/>
        </w:numPr>
        <w:tabs>
          <w:tab w:pos="810" w:val="left" w:leader="none"/>
        </w:tabs>
        <w:spacing w:line="240" w:lineRule="auto" w:before="120" w:after="0"/>
        <w:ind w:left="814" w:right="117" w:hanging="356"/>
        <w:jc w:val="both"/>
        <w:rPr>
          <w:sz w:val="24"/>
        </w:rPr>
      </w:pPr>
      <w:r>
        <w:rPr>
          <w:i/>
          <w:sz w:val="24"/>
        </w:rPr>
        <w:t>Risco(s) e efeito(s</w:t>
      </w:r>
      <w:r>
        <w:rPr>
          <w:sz w:val="24"/>
        </w:rPr>
        <w:t>): a equipe de planejamento constitui parte importante no processo de contratações de STIC, uma vez que não só é responsável por elaborar os estudos preliminares, como também é responsável por auxiliar a Área Demandante da Solução de Tecnologia da Informação. Portanto, verifica- se o risco potencial de falhas nas contratações e descumprimento ao dispositivo legal estabelecido no</w:t>
      </w:r>
      <w:r>
        <w:rPr>
          <w:spacing w:val="-1"/>
          <w:sz w:val="24"/>
        </w:rPr>
        <w:t> </w:t>
      </w:r>
      <w:r>
        <w:rPr>
          <w:sz w:val="24"/>
        </w:rPr>
        <w:t>critério.</w:t>
      </w:r>
    </w:p>
    <w:p>
      <w:pPr>
        <w:pStyle w:val="ListParagraph"/>
        <w:numPr>
          <w:ilvl w:val="2"/>
          <w:numId w:val="3"/>
        </w:numPr>
        <w:tabs>
          <w:tab w:pos="810" w:val="left" w:leader="none"/>
        </w:tabs>
        <w:spacing w:line="240" w:lineRule="auto" w:before="120" w:after="0"/>
        <w:ind w:left="810" w:right="0" w:hanging="351"/>
        <w:jc w:val="both"/>
        <w:rPr>
          <w:sz w:val="24"/>
        </w:rPr>
      </w:pPr>
      <w:r>
        <w:rPr>
          <w:i/>
          <w:sz w:val="24"/>
        </w:rPr>
        <w:t>Causa(s): </w:t>
      </w:r>
      <w:r>
        <w:rPr>
          <w:sz w:val="24"/>
        </w:rPr>
        <w:t>carência de planejamento.</w:t>
      </w:r>
    </w:p>
    <w:p>
      <w:pPr>
        <w:pStyle w:val="ListParagraph"/>
        <w:numPr>
          <w:ilvl w:val="2"/>
          <w:numId w:val="3"/>
        </w:numPr>
        <w:tabs>
          <w:tab w:pos="810" w:val="left" w:leader="none"/>
        </w:tabs>
        <w:spacing w:line="240" w:lineRule="auto" w:before="120" w:after="0"/>
        <w:ind w:left="814" w:right="123" w:hanging="356"/>
        <w:jc w:val="both"/>
        <w:rPr>
          <w:sz w:val="24"/>
        </w:rPr>
      </w:pPr>
      <w:r>
        <w:rPr>
          <w:i/>
          <w:sz w:val="24"/>
        </w:rPr>
        <w:t>Evidência(s): </w:t>
      </w:r>
      <w:r>
        <w:rPr>
          <w:sz w:val="24"/>
        </w:rPr>
        <w:t>considerações da STI registradas na mensagem eletrônica em resposta à RDI nº 55/20014 e o próprio plano de contratações apresentado por meio do expediente nº</w:t>
      </w:r>
      <w:r>
        <w:rPr>
          <w:spacing w:val="-1"/>
          <w:sz w:val="24"/>
        </w:rPr>
        <w:t> </w:t>
      </w:r>
      <w:r>
        <w:rPr>
          <w:sz w:val="24"/>
        </w:rPr>
        <w:t>88.132/2013.</w:t>
      </w:r>
    </w:p>
    <w:p>
      <w:pPr>
        <w:pStyle w:val="BodyText"/>
        <w:spacing w:before="10"/>
        <w:rPr>
          <w:sz w:val="20"/>
        </w:rPr>
      </w:pPr>
    </w:p>
    <w:p>
      <w:pPr>
        <w:pStyle w:val="ListParagraph"/>
        <w:numPr>
          <w:ilvl w:val="1"/>
          <w:numId w:val="3"/>
        </w:numPr>
        <w:tabs>
          <w:tab w:pos="523" w:val="left" w:leader="none"/>
        </w:tabs>
        <w:spacing w:line="240" w:lineRule="auto" w:before="0" w:after="0"/>
        <w:ind w:left="522" w:right="0" w:hanging="421"/>
        <w:jc w:val="both"/>
        <w:rPr>
          <w:i/>
          <w:sz w:val="24"/>
        </w:rPr>
      </w:pPr>
      <w:r>
        <w:rPr>
          <w:i/>
          <w:sz w:val="24"/>
        </w:rPr>
        <w:t>Ausência de revisão e atualização do plano de</w:t>
      </w:r>
      <w:r>
        <w:rPr>
          <w:i/>
          <w:spacing w:val="-2"/>
          <w:sz w:val="24"/>
        </w:rPr>
        <w:t> </w:t>
      </w:r>
      <w:r>
        <w:rPr>
          <w:i/>
          <w:sz w:val="24"/>
        </w:rPr>
        <w:t>contratações:</w:t>
      </w:r>
    </w:p>
    <w:p>
      <w:pPr>
        <w:pStyle w:val="ListParagraph"/>
        <w:numPr>
          <w:ilvl w:val="2"/>
          <w:numId w:val="3"/>
        </w:numPr>
        <w:tabs>
          <w:tab w:pos="810" w:val="left" w:leader="none"/>
        </w:tabs>
        <w:spacing w:line="240" w:lineRule="auto" w:before="120" w:after="0"/>
        <w:ind w:left="810" w:right="0" w:hanging="360"/>
        <w:jc w:val="both"/>
        <w:rPr>
          <w:sz w:val="24"/>
        </w:rPr>
      </w:pPr>
      <w:r>
        <w:rPr>
          <w:i/>
          <w:sz w:val="24"/>
        </w:rPr>
        <w:t>Situação encontrada: </w:t>
      </w:r>
      <w:r>
        <w:rPr>
          <w:sz w:val="24"/>
        </w:rPr>
        <w:t>ausência de revisão periódica do plano de</w:t>
      </w:r>
      <w:r>
        <w:rPr>
          <w:spacing w:val="-4"/>
          <w:sz w:val="24"/>
        </w:rPr>
        <w:t> </w:t>
      </w:r>
      <w:r>
        <w:rPr>
          <w:sz w:val="24"/>
        </w:rPr>
        <w:t>contratações.</w:t>
      </w:r>
    </w:p>
    <w:p>
      <w:pPr>
        <w:pStyle w:val="ListParagraph"/>
        <w:numPr>
          <w:ilvl w:val="2"/>
          <w:numId w:val="3"/>
        </w:numPr>
        <w:tabs>
          <w:tab w:pos="810" w:val="left" w:leader="none"/>
        </w:tabs>
        <w:spacing w:line="240" w:lineRule="auto" w:before="121" w:after="0"/>
        <w:ind w:left="810" w:right="0" w:hanging="360"/>
        <w:jc w:val="both"/>
        <w:rPr>
          <w:sz w:val="24"/>
        </w:rPr>
      </w:pPr>
      <w:r>
        <w:rPr>
          <w:i/>
          <w:sz w:val="24"/>
        </w:rPr>
        <w:t>Critério(s): </w:t>
      </w:r>
      <w:r>
        <w:rPr>
          <w:sz w:val="24"/>
        </w:rPr>
        <w:t>§2º do art. 7º da Res. CNJ nº</w:t>
      </w:r>
      <w:r>
        <w:rPr>
          <w:spacing w:val="1"/>
          <w:sz w:val="24"/>
        </w:rPr>
        <w:t> </w:t>
      </w:r>
      <w:r>
        <w:rPr>
          <w:sz w:val="24"/>
        </w:rPr>
        <w:t>182/2013.</w:t>
      </w:r>
    </w:p>
    <w:p>
      <w:pPr>
        <w:pStyle w:val="ListParagraph"/>
        <w:numPr>
          <w:ilvl w:val="2"/>
          <w:numId w:val="3"/>
        </w:numPr>
        <w:tabs>
          <w:tab w:pos="810" w:val="left" w:leader="none"/>
        </w:tabs>
        <w:spacing w:line="240" w:lineRule="auto" w:before="120" w:after="0"/>
        <w:ind w:left="810" w:right="118" w:hanging="360"/>
        <w:jc w:val="both"/>
        <w:rPr>
          <w:sz w:val="24"/>
        </w:rPr>
      </w:pPr>
      <w:r>
        <w:rPr>
          <w:i/>
          <w:sz w:val="24"/>
        </w:rPr>
        <w:t>Risco(s) e efeito(s): </w:t>
      </w:r>
      <w:r>
        <w:rPr>
          <w:sz w:val="24"/>
        </w:rPr>
        <w:t>aplicação de recursos com contratações que não estavam previstas no plano de</w:t>
      </w:r>
      <w:r>
        <w:rPr>
          <w:spacing w:val="-3"/>
          <w:sz w:val="24"/>
        </w:rPr>
        <w:t> </w:t>
      </w:r>
      <w:r>
        <w:rPr>
          <w:sz w:val="24"/>
        </w:rPr>
        <w:t>contratações.</w:t>
      </w:r>
    </w:p>
    <w:p>
      <w:pPr>
        <w:pStyle w:val="ListParagraph"/>
        <w:numPr>
          <w:ilvl w:val="2"/>
          <w:numId w:val="3"/>
        </w:numPr>
        <w:tabs>
          <w:tab w:pos="810" w:val="left" w:leader="none"/>
        </w:tabs>
        <w:spacing w:line="240" w:lineRule="auto" w:before="120" w:after="0"/>
        <w:ind w:left="810" w:right="121" w:hanging="360"/>
        <w:jc w:val="both"/>
        <w:rPr>
          <w:sz w:val="24"/>
        </w:rPr>
      </w:pPr>
      <w:r>
        <w:rPr>
          <w:i/>
          <w:sz w:val="24"/>
        </w:rPr>
        <w:t>Causa(s): </w:t>
      </w:r>
      <w:r>
        <w:rPr>
          <w:sz w:val="24"/>
        </w:rPr>
        <w:t>inexperiência da unidade em relação à sistemática a ser adotada para atualização do plano e insuficiência de</w:t>
      </w:r>
      <w:r>
        <w:rPr>
          <w:spacing w:val="-4"/>
          <w:sz w:val="24"/>
        </w:rPr>
        <w:t> </w:t>
      </w:r>
      <w:r>
        <w:rPr>
          <w:sz w:val="24"/>
        </w:rPr>
        <w:t>capacitação.</w:t>
      </w:r>
    </w:p>
    <w:p>
      <w:pPr>
        <w:pStyle w:val="ListParagraph"/>
        <w:numPr>
          <w:ilvl w:val="2"/>
          <w:numId w:val="3"/>
        </w:numPr>
        <w:tabs>
          <w:tab w:pos="810" w:val="left" w:leader="none"/>
        </w:tabs>
        <w:spacing w:line="240" w:lineRule="auto" w:before="120" w:after="0"/>
        <w:ind w:left="814" w:right="117" w:hanging="356"/>
        <w:jc w:val="both"/>
        <w:rPr>
          <w:sz w:val="24"/>
        </w:rPr>
      </w:pPr>
      <w:r>
        <w:rPr>
          <w:i/>
          <w:sz w:val="24"/>
        </w:rPr>
        <w:t>Evidência(s): </w:t>
      </w:r>
      <w:r>
        <w:rPr>
          <w:sz w:val="24"/>
        </w:rPr>
        <w:t>considerações da STI registradas na mensagem eletrônica em resposta à RDI nº 55/20014 quanto à alínea b.3 do item 2 da referida RDI, e o próprio plano de contratações apresentado por meio do expediente nº 88.132/2013.</w:t>
      </w:r>
    </w:p>
    <w:p>
      <w:pPr>
        <w:spacing w:after="0" w:line="240" w:lineRule="auto"/>
        <w:jc w:val="both"/>
        <w:rPr>
          <w:sz w:val="24"/>
        </w:rPr>
        <w:sectPr>
          <w:pgSz w:w="11910" w:h="16840"/>
          <w:pgMar w:header="403" w:footer="813" w:top="1540" w:bottom="1000" w:left="1600" w:right="1580"/>
        </w:sectPr>
      </w:pPr>
    </w:p>
    <w:p>
      <w:pPr>
        <w:pStyle w:val="BodyText"/>
        <w:spacing w:before="11"/>
        <w:rPr>
          <w:sz w:val="21"/>
        </w:rPr>
      </w:pPr>
    </w:p>
    <w:p>
      <w:pPr>
        <w:pStyle w:val="ListParagraph"/>
        <w:numPr>
          <w:ilvl w:val="1"/>
          <w:numId w:val="3"/>
        </w:numPr>
        <w:tabs>
          <w:tab w:pos="532" w:val="left" w:leader="none"/>
        </w:tabs>
        <w:spacing w:line="240" w:lineRule="auto" w:before="90" w:after="0"/>
        <w:ind w:left="102" w:right="120" w:firstLine="0"/>
        <w:jc w:val="both"/>
        <w:rPr>
          <w:i/>
          <w:sz w:val="24"/>
        </w:rPr>
      </w:pPr>
      <w:r>
        <w:rPr>
          <w:i/>
          <w:sz w:val="24"/>
        </w:rPr>
        <w:t>Inobservância à legislação de regência, no que tange à elaboração de documentos </w:t>
      </w:r>
      <w:r>
        <w:rPr>
          <w:i/>
          <w:sz w:val="24"/>
        </w:rPr>
        <w:t>necessários a instrução das contratações de Solução de</w:t>
      </w:r>
      <w:r>
        <w:rPr>
          <w:i/>
          <w:spacing w:val="-3"/>
          <w:sz w:val="24"/>
        </w:rPr>
        <w:t> </w:t>
      </w:r>
      <w:r>
        <w:rPr>
          <w:i/>
          <w:sz w:val="24"/>
        </w:rPr>
        <w:t>TI:</w:t>
      </w:r>
    </w:p>
    <w:p>
      <w:pPr>
        <w:pStyle w:val="ListParagraph"/>
        <w:numPr>
          <w:ilvl w:val="2"/>
          <w:numId w:val="3"/>
        </w:numPr>
        <w:tabs>
          <w:tab w:pos="810" w:val="left" w:leader="none"/>
        </w:tabs>
        <w:spacing w:line="240" w:lineRule="auto" w:before="120" w:after="0"/>
        <w:ind w:left="810" w:right="119" w:hanging="360"/>
        <w:jc w:val="both"/>
        <w:rPr>
          <w:sz w:val="24"/>
        </w:rPr>
      </w:pPr>
      <w:r>
        <w:rPr>
          <w:i/>
          <w:sz w:val="24"/>
        </w:rPr>
        <w:t>Situação encontrada: </w:t>
      </w:r>
      <w:r>
        <w:rPr>
          <w:sz w:val="24"/>
        </w:rPr>
        <w:t>observou-se a inexistência dos seguintes documentos previstos na Res. CNJ nº182/2013: Documento de Oficialização de Demanda para cada contratação (DOD); Análise da Viabilidade da Contratação; Documentação de Sustentação do Contrato; Estratégia para Contratação; e Análise de</w:t>
      </w:r>
      <w:r>
        <w:rPr>
          <w:spacing w:val="-3"/>
          <w:sz w:val="24"/>
        </w:rPr>
        <w:t> </w:t>
      </w:r>
      <w:r>
        <w:rPr>
          <w:sz w:val="24"/>
        </w:rPr>
        <w:t>Riscos.</w:t>
      </w:r>
    </w:p>
    <w:p>
      <w:pPr>
        <w:pStyle w:val="ListParagraph"/>
        <w:numPr>
          <w:ilvl w:val="2"/>
          <w:numId w:val="3"/>
        </w:numPr>
        <w:tabs>
          <w:tab w:pos="810" w:val="left" w:leader="none"/>
        </w:tabs>
        <w:spacing w:line="240" w:lineRule="auto" w:before="117" w:after="0"/>
        <w:ind w:left="810" w:right="0" w:hanging="360"/>
        <w:jc w:val="both"/>
        <w:rPr>
          <w:sz w:val="24"/>
        </w:rPr>
      </w:pPr>
      <w:r>
        <w:rPr>
          <w:i/>
          <w:sz w:val="24"/>
        </w:rPr>
        <w:t>Critério(s): </w:t>
      </w:r>
      <w:r>
        <w:rPr>
          <w:sz w:val="24"/>
        </w:rPr>
        <w:t>§§1º e 4º, do art. 12, da Res. CNJ nº 182/2014</w:t>
      </w:r>
    </w:p>
    <w:p>
      <w:pPr>
        <w:pStyle w:val="ListParagraph"/>
        <w:numPr>
          <w:ilvl w:val="2"/>
          <w:numId w:val="3"/>
        </w:numPr>
        <w:tabs>
          <w:tab w:pos="810" w:val="left" w:leader="none"/>
        </w:tabs>
        <w:spacing w:line="240" w:lineRule="auto" w:before="120" w:after="0"/>
        <w:ind w:left="810" w:right="116" w:hanging="360"/>
        <w:jc w:val="both"/>
        <w:rPr>
          <w:sz w:val="24"/>
        </w:rPr>
      </w:pPr>
      <w:r>
        <w:rPr>
          <w:i/>
          <w:sz w:val="24"/>
        </w:rPr>
        <w:t>Risco(s) e efeito(s): </w:t>
      </w:r>
      <w:r>
        <w:rPr>
          <w:sz w:val="24"/>
        </w:rPr>
        <w:t>inexecução de etapas relevantes para a execução da contratação, com qualidade comprometida, perda de prazos administrativos, implicação negativa na efetiva concretização do plano de contratações e do objetivo estratégico de “garantir a infraestrutura apropriada às atividades institucionais”.</w:t>
      </w:r>
    </w:p>
    <w:p>
      <w:pPr>
        <w:pStyle w:val="ListParagraph"/>
        <w:numPr>
          <w:ilvl w:val="2"/>
          <w:numId w:val="3"/>
        </w:numPr>
        <w:tabs>
          <w:tab w:pos="810" w:val="left" w:leader="none"/>
        </w:tabs>
        <w:spacing w:line="240" w:lineRule="auto" w:before="121" w:after="0"/>
        <w:ind w:left="810" w:right="119" w:hanging="360"/>
        <w:jc w:val="both"/>
        <w:rPr>
          <w:sz w:val="24"/>
        </w:rPr>
      </w:pPr>
      <w:r>
        <w:rPr>
          <w:i/>
          <w:sz w:val="24"/>
        </w:rPr>
        <w:t>Causa(s): </w:t>
      </w:r>
      <w:r>
        <w:rPr>
          <w:sz w:val="24"/>
        </w:rPr>
        <w:t>ausência de rotina de trabalho estabelecida para a formalização desses documentos, insuficiência de</w:t>
      </w:r>
      <w:r>
        <w:rPr>
          <w:spacing w:val="-3"/>
          <w:sz w:val="24"/>
        </w:rPr>
        <w:t> </w:t>
      </w:r>
      <w:r>
        <w:rPr>
          <w:sz w:val="24"/>
        </w:rPr>
        <w:t>capacitação.</w:t>
      </w:r>
    </w:p>
    <w:p>
      <w:pPr>
        <w:pStyle w:val="ListParagraph"/>
        <w:numPr>
          <w:ilvl w:val="2"/>
          <w:numId w:val="3"/>
        </w:numPr>
        <w:tabs>
          <w:tab w:pos="810" w:val="left" w:leader="none"/>
        </w:tabs>
        <w:spacing w:line="240" w:lineRule="auto" w:before="120" w:after="0"/>
        <w:ind w:left="814" w:right="126" w:hanging="356"/>
        <w:jc w:val="both"/>
        <w:rPr>
          <w:sz w:val="24"/>
        </w:rPr>
      </w:pPr>
      <w:r>
        <w:rPr>
          <w:i/>
          <w:sz w:val="24"/>
        </w:rPr>
        <w:t>Evidência(s): </w:t>
      </w:r>
      <w:r>
        <w:rPr>
          <w:sz w:val="24"/>
        </w:rPr>
        <w:t>considerações da STI, registradas na mensagem eletrônica em resposta à RDI nº</w:t>
      </w:r>
      <w:r>
        <w:rPr>
          <w:spacing w:val="-6"/>
          <w:sz w:val="24"/>
        </w:rPr>
        <w:t> </w:t>
      </w:r>
      <w:r>
        <w:rPr>
          <w:sz w:val="24"/>
        </w:rPr>
        <w:t>55/20014.</w:t>
      </w:r>
    </w:p>
    <w:p>
      <w:pPr>
        <w:pStyle w:val="BodyText"/>
        <w:spacing w:before="10"/>
        <w:rPr>
          <w:sz w:val="20"/>
        </w:rPr>
      </w:pPr>
    </w:p>
    <w:p>
      <w:pPr>
        <w:pStyle w:val="ListParagraph"/>
        <w:numPr>
          <w:ilvl w:val="1"/>
          <w:numId w:val="3"/>
        </w:numPr>
        <w:tabs>
          <w:tab w:pos="463" w:val="left" w:leader="none"/>
        </w:tabs>
        <w:spacing w:line="240" w:lineRule="auto" w:before="0" w:after="0"/>
        <w:ind w:left="102" w:right="115" w:firstLine="0"/>
        <w:jc w:val="both"/>
        <w:rPr>
          <w:i/>
          <w:sz w:val="24"/>
        </w:rPr>
      </w:pPr>
      <w:r>
        <w:rPr>
          <w:i/>
          <w:sz w:val="24"/>
        </w:rPr>
        <w:t>Termos de Referência elaborados sem observância às exigências do </w:t>
      </w:r>
      <w:r>
        <w:rPr>
          <w:sz w:val="24"/>
        </w:rPr>
        <w:t>§ </w:t>
      </w:r>
      <w:r>
        <w:rPr>
          <w:i/>
          <w:sz w:val="24"/>
        </w:rPr>
        <w:t>3º, do art. 18, </w:t>
      </w:r>
      <w:r>
        <w:rPr>
          <w:i/>
          <w:sz w:val="24"/>
        </w:rPr>
        <w:t>da Resolução CNJ Nº</w:t>
      </w:r>
      <w:r>
        <w:rPr>
          <w:i/>
          <w:spacing w:val="-2"/>
          <w:sz w:val="24"/>
        </w:rPr>
        <w:t> </w:t>
      </w:r>
      <w:r>
        <w:rPr>
          <w:i/>
          <w:sz w:val="24"/>
        </w:rPr>
        <w:t>182/2013:</w:t>
      </w:r>
    </w:p>
    <w:p>
      <w:pPr>
        <w:pStyle w:val="ListParagraph"/>
        <w:numPr>
          <w:ilvl w:val="2"/>
          <w:numId w:val="3"/>
        </w:numPr>
        <w:tabs>
          <w:tab w:pos="810" w:val="left" w:leader="none"/>
        </w:tabs>
        <w:spacing w:line="240" w:lineRule="auto" w:before="121" w:after="0"/>
        <w:ind w:left="810" w:right="116" w:hanging="360"/>
        <w:jc w:val="both"/>
        <w:rPr>
          <w:sz w:val="24"/>
        </w:rPr>
      </w:pPr>
      <w:r>
        <w:rPr>
          <w:i/>
          <w:sz w:val="24"/>
        </w:rPr>
        <w:t>Situação encontrada: </w:t>
      </w:r>
      <w:r>
        <w:rPr>
          <w:sz w:val="24"/>
        </w:rPr>
        <w:t>da análise dos termos de referência selecionados, verificou-se que não constam os objetivos a serem alcançados, a referência aos estudos preliminares, a relação da demanda prevista e a quantidade a ser contratada, a análise de mercado de tecnologia com o levantamento das  soluções, a justificativa da escolha da solução, a natureza do objeto, bem como as informações acerca do impacto ambiental decorrente da</w:t>
      </w:r>
      <w:r>
        <w:rPr>
          <w:spacing w:val="-3"/>
          <w:sz w:val="24"/>
        </w:rPr>
        <w:t> </w:t>
      </w:r>
      <w:r>
        <w:rPr>
          <w:sz w:val="24"/>
        </w:rPr>
        <w:t>contratação.</w:t>
      </w:r>
    </w:p>
    <w:p>
      <w:pPr>
        <w:pStyle w:val="ListParagraph"/>
        <w:numPr>
          <w:ilvl w:val="2"/>
          <w:numId w:val="3"/>
        </w:numPr>
        <w:tabs>
          <w:tab w:pos="810" w:val="left" w:leader="none"/>
        </w:tabs>
        <w:spacing w:line="240" w:lineRule="auto" w:before="120" w:after="0"/>
        <w:ind w:left="810" w:right="0" w:hanging="360"/>
        <w:jc w:val="both"/>
        <w:rPr>
          <w:sz w:val="24"/>
        </w:rPr>
      </w:pPr>
      <w:r>
        <w:rPr>
          <w:i/>
          <w:sz w:val="24"/>
        </w:rPr>
        <w:t>Critério(s): </w:t>
      </w:r>
      <w:r>
        <w:rPr>
          <w:sz w:val="24"/>
        </w:rPr>
        <w:t>§3º, do art. 18, da Res. CNJ nº 182/2013.</w:t>
      </w:r>
    </w:p>
    <w:p>
      <w:pPr>
        <w:pStyle w:val="ListParagraph"/>
        <w:numPr>
          <w:ilvl w:val="2"/>
          <w:numId w:val="3"/>
        </w:numPr>
        <w:tabs>
          <w:tab w:pos="810" w:val="left" w:leader="none"/>
        </w:tabs>
        <w:spacing w:line="240" w:lineRule="auto" w:before="120" w:after="0"/>
        <w:ind w:left="810" w:right="117" w:hanging="360"/>
        <w:jc w:val="both"/>
        <w:rPr>
          <w:sz w:val="24"/>
        </w:rPr>
      </w:pPr>
      <w:r>
        <w:rPr>
          <w:i/>
          <w:sz w:val="24"/>
        </w:rPr>
        <w:t>Risco(s) e efeito(s): </w:t>
      </w:r>
      <w:r>
        <w:rPr>
          <w:sz w:val="24"/>
        </w:rPr>
        <w:t>contratação com qualidade comprometida, perda de prazos administrativos, implicação negativa na efetiva concretização </w:t>
      </w:r>
      <w:r>
        <w:rPr>
          <w:spacing w:val="3"/>
          <w:sz w:val="24"/>
        </w:rPr>
        <w:t>do </w:t>
      </w:r>
      <w:r>
        <w:rPr>
          <w:sz w:val="24"/>
        </w:rPr>
        <w:t>plano de contratação e do objetivo estratégico de “garantir a infraestrutura apropriada às atividades</w:t>
      </w:r>
      <w:r>
        <w:rPr>
          <w:spacing w:val="-2"/>
          <w:sz w:val="24"/>
        </w:rPr>
        <w:t> </w:t>
      </w:r>
      <w:r>
        <w:rPr>
          <w:sz w:val="24"/>
        </w:rPr>
        <w:t>institucionais”.</w:t>
      </w:r>
    </w:p>
    <w:p>
      <w:pPr>
        <w:pStyle w:val="ListParagraph"/>
        <w:numPr>
          <w:ilvl w:val="2"/>
          <w:numId w:val="3"/>
        </w:numPr>
        <w:tabs>
          <w:tab w:pos="810" w:val="left" w:leader="none"/>
        </w:tabs>
        <w:spacing w:line="240" w:lineRule="auto" w:before="120" w:after="0"/>
        <w:ind w:left="810" w:right="119" w:hanging="360"/>
        <w:jc w:val="both"/>
        <w:rPr>
          <w:sz w:val="24"/>
        </w:rPr>
      </w:pPr>
      <w:r>
        <w:rPr>
          <w:i/>
          <w:sz w:val="24"/>
        </w:rPr>
        <w:t>Causa(s): </w:t>
      </w:r>
      <w:r>
        <w:rPr>
          <w:sz w:val="24"/>
        </w:rPr>
        <w:t>ausência de rotina de trabalho estabelecida para a formalização desses documentos e insuficiência de capacitação</w:t>
      </w:r>
      <w:r>
        <w:rPr>
          <w:spacing w:val="-4"/>
          <w:sz w:val="24"/>
        </w:rPr>
        <w:t> </w:t>
      </w:r>
      <w:r>
        <w:rPr>
          <w:sz w:val="24"/>
        </w:rPr>
        <w:t>específica.</w:t>
      </w:r>
    </w:p>
    <w:p>
      <w:pPr>
        <w:pStyle w:val="ListParagraph"/>
        <w:numPr>
          <w:ilvl w:val="2"/>
          <w:numId w:val="3"/>
        </w:numPr>
        <w:tabs>
          <w:tab w:pos="810" w:val="left" w:leader="none"/>
        </w:tabs>
        <w:spacing w:line="240" w:lineRule="auto" w:before="121" w:after="0"/>
        <w:ind w:left="810" w:right="118" w:hanging="360"/>
        <w:jc w:val="both"/>
        <w:rPr>
          <w:sz w:val="24"/>
        </w:rPr>
      </w:pPr>
      <w:r>
        <w:rPr>
          <w:i/>
          <w:sz w:val="24"/>
        </w:rPr>
        <w:t>Evidência(s): </w:t>
      </w:r>
      <w:r>
        <w:rPr>
          <w:sz w:val="24"/>
        </w:rPr>
        <w:t>TRs constantes dos expedientes n°</w:t>
      </w:r>
      <w:r>
        <w:rPr>
          <w:sz w:val="24"/>
          <w:vertAlign w:val="superscript"/>
        </w:rPr>
        <w:t>s</w:t>
      </w:r>
      <w:r>
        <w:rPr>
          <w:sz w:val="24"/>
          <w:vertAlign w:val="baseline"/>
        </w:rPr>
        <w:t> 10.855/2014 e 13.354/2014, e considerações da STI na mensagem eletrônica em resposta à RDI nº</w:t>
      </w:r>
      <w:r>
        <w:rPr>
          <w:spacing w:val="-12"/>
          <w:sz w:val="24"/>
          <w:vertAlign w:val="baseline"/>
        </w:rPr>
        <w:t> </w:t>
      </w:r>
      <w:r>
        <w:rPr>
          <w:sz w:val="24"/>
          <w:vertAlign w:val="baseline"/>
        </w:rPr>
        <w:t>55/20014.</w:t>
      </w:r>
    </w:p>
    <w:p>
      <w:pPr>
        <w:pStyle w:val="BodyText"/>
        <w:spacing w:before="9"/>
        <w:rPr>
          <w:sz w:val="20"/>
        </w:rPr>
      </w:pPr>
    </w:p>
    <w:p>
      <w:pPr>
        <w:pStyle w:val="ListParagraph"/>
        <w:numPr>
          <w:ilvl w:val="1"/>
          <w:numId w:val="3"/>
        </w:numPr>
        <w:tabs>
          <w:tab w:pos="463" w:val="left" w:leader="none"/>
        </w:tabs>
        <w:spacing w:line="240" w:lineRule="auto" w:before="1" w:after="0"/>
        <w:ind w:left="463" w:right="0" w:hanging="361"/>
        <w:jc w:val="both"/>
        <w:rPr>
          <w:i/>
          <w:sz w:val="24"/>
        </w:rPr>
      </w:pPr>
      <w:r>
        <w:rPr>
          <w:i/>
          <w:sz w:val="24"/>
        </w:rPr>
        <w:t>Contratações previstas na Proposta e não incluídas no Plano de</w:t>
      </w:r>
      <w:r>
        <w:rPr>
          <w:i/>
          <w:spacing w:val="-5"/>
          <w:sz w:val="24"/>
        </w:rPr>
        <w:t> </w:t>
      </w:r>
      <w:r>
        <w:rPr>
          <w:i/>
          <w:sz w:val="24"/>
        </w:rPr>
        <w:t>Contratações:</w:t>
      </w:r>
    </w:p>
    <w:p>
      <w:pPr>
        <w:pStyle w:val="ListParagraph"/>
        <w:numPr>
          <w:ilvl w:val="2"/>
          <w:numId w:val="3"/>
        </w:numPr>
        <w:tabs>
          <w:tab w:pos="810" w:val="left" w:leader="none"/>
        </w:tabs>
        <w:spacing w:line="240" w:lineRule="auto" w:before="120" w:after="0"/>
        <w:ind w:left="810" w:right="118" w:hanging="360"/>
        <w:jc w:val="both"/>
        <w:rPr>
          <w:sz w:val="24"/>
        </w:rPr>
      </w:pPr>
      <w:r>
        <w:rPr>
          <w:i/>
          <w:sz w:val="24"/>
        </w:rPr>
        <w:t>Situação encontrada: </w:t>
      </w:r>
      <w:r>
        <w:rPr>
          <w:sz w:val="24"/>
        </w:rPr>
        <w:t>da análise da proposta orçamentária em confronto com </w:t>
      </w:r>
      <w:r>
        <w:rPr>
          <w:spacing w:val="-7"/>
          <w:sz w:val="24"/>
        </w:rPr>
        <w:t>as </w:t>
      </w:r>
      <w:r>
        <w:rPr>
          <w:sz w:val="24"/>
        </w:rPr>
        <w:t>contratações previstas no plano de contratações, verificou-se que consta a solicitação de crédito orçamentário para aquisição de </w:t>
      </w:r>
      <w:r>
        <w:rPr>
          <w:i/>
          <w:sz w:val="24"/>
        </w:rPr>
        <w:t>link </w:t>
      </w:r>
      <w:r>
        <w:rPr>
          <w:sz w:val="24"/>
        </w:rPr>
        <w:t>de comunicação sem, contudo, haver registro da respectiva demanda no</w:t>
      </w:r>
      <w:r>
        <w:rPr>
          <w:spacing w:val="-2"/>
          <w:sz w:val="24"/>
        </w:rPr>
        <w:t> </w:t>
      </w:r>
      <w:r>
        <w:rPr>
          <w:sz w:val="24"/>
        </w:rPr>
        <w:t>plano.</w:t>
      </w:r>
    </w:p>
    <w:p>
      <w:pPr>
        <w:pStyle w:val="ListParagraph"/>
        <w:numPr>
          <w:ilvl w:val="2"/>
          <w:numId w:val="3"/>
        </w:numPr>
        <w:tabs>
          <w:tab w:pos="810" w:val="left" w:leader="none"/>
        </w:tabs>
        <w:spacing w:line="240" w:lineRule="auto" w:before="120" w:after="0"/>
        <w:ind w:left="810" w:right="0" w:hanging="360"/>
        <w:jc w:val="both"/>
        <w:rPr>
          <w:sz w:val="24"/>
        </w:rPr>
      </w:pPr>
      <w:r>
        <w:rPr>
          <w:i/>
          <w:sz w:val="24"/>
        </w:rPr>
        <w:t>Critério(s): </w:t>
      </w:r>
      <w:r>
        <w:rPr>
          <w:sz w:val="24"/>
        </w:rPr>
        <w:t>inciso V, do art. 16, da Res. CNJ nº</w:t>
      </w:r>
      <w:r>
        <w:rPr>
          <w:spacing w:val="-1"/>
          <w:sz w:val="24"/>
        </w:rPr>
        <w:t> </w:t>
      </w:r>
      <w:r>
        <w:rPr>
          <w:sz w:val="24"/>
        </w:rPr>
        <w:t>182/2013.</w:t>
      </w:r>
    </w:p>
    <w:p>
      <w:pPr>
        <w:spacing w:after="0" w:line="240" w:lineRule="auto"/>
        <w:jc w:val="both"/>
        <w:rPr>
          <w:sz w:val="24"/>
        </w:rPr>
        <w:sectPr>
          <w:pgSz w:w="11910" w:h="16840"/>
          <w:pgMar w:header="403" w:footer="813" w:top="1540" w:bottom="1000" w:left="1600" w:right="1580"/>
        </w:sectPr>
      </w:pPr>
    </w:p>
    <w:p>
      <w:pPr>
        <w:pStyle w:val="BodyText"/>
        <w:spacing w:before="9"/>
        <w:rPr>
          <w:sz w:val="21"/>
        </w:rPr>
      </w:pPr>
    </w:p>
    <w:p>
      <w:pPr>
        <w:pStyle w:val="ListParagraph"/>
        <w:numPr>
          <w:ilvl w:val="2"/>
          <w:numId w:val="3"/>
        </w:numPr>
        <w:tabs>
          <w:tab w:pos="809" w:val="left" w:leader="none"/>
          <w:tab w:pos="810" w:val="left" w:leader="none"/>
        </w:tabs>
        <w:spacing w:line="240" w:lineRule="auto" w:before="92" w:after="0"/>
        <w:ind w:left="810" w:right="114" w:hanging="360"/>
        <w:jc w:val="left"/>
        <w:rPr>
          <w:sz w:val="24"/>
        </w:rPr>
      </w:pPr>
      <w:r>
        <w:rPr>
          <w:i/>
          <w:sz w:val="24"/>
        </w:rPr>
        <w:t>Risco(s) e efeito(s): </w:t>
      </w:r>
      <w:r>
        <w:rPr>
          <w:sz w:val="24"/>
        </w:rPr>
        <w:t>implicação negativa na efetiva concretização </w:t>
      </w:r>
      <w:r>
        <w:rPr>
          <w:spacing w:val="2"/>
          <w:sz w:val="24"/>
        </w:rPr>
        <w:t>do </w:t>
      </w:r>
      <w:r>
        <w:rPr>
          <w:sz w:val="24"/>
        </w:rPr>
        <w:t>plano de contratação.</w:t>
      </w:r>
    </w:p>
    <w:p>
      <w:pPr>
        <w:pStyle w:val="ListParagraph"/>
        <w:numPr>
          <w:ilvl w:val="2"/>
          <w:numId w:val="3"/>
        </w:numPr>
        <w:tabs>
          <w:tab w:pos="809" w:val="left" w:leader="none"/>
          <w:tab w:pos="810" w:val="left" w:leader="none"/>
        </w:tabs>
        <w:spacing w:line="240" w:lineRule="auto" w:before="120" w:after="0"/>
        <w:ind w:left="810" w:right="120" w:hanging="360"/>
        <w:jc w:val="left"/>
        <w:rPr>
          <w:sz w:val="24"/>
        </w:rPr>
      </w:pPr>
      <w:r>
        <w:rPr>
          <w:i/>
          <w:sz w:val="24"/>
        </w:rPr>
        <w:t>Causa(s): </w:t>
      </w:r>
      <w:r>
        <w:rPr>
          <w:sz w:val="24"/>
        </w:rPr>
        <w:t>ausência de rotina de trabalho para revisão e atualização do plano de contratações.</w:t>
      </w:r>
    </w:p>
    <w:p>
      <w:pPr>
        <w:pStyle w:val="ListParagraph"/>
        <w:numPr>
          <w:ilvl w:val="2"/>
          <w:numId w:val="3"/>
        </w:numPr>
        <w:tabs>
          <w:tab w:pos="809" w:val="left" w:leader="none"/>
          <w:tab w:pos="810" w:val="left" w:leader="none"/>
          <w:tab w:pos="2360" w:val="left" w:leader="none"/>
          <w:tab w:pos="3447" w:val="left" w:leader="none"/>
          <w:tab w:pos="4956" w:val="left" w:leader="none"/>
          <w:tab w:pos="5762" w:val="left" w:leader="none"/>
          <w:tab w:pos="6554" w:val="left" w:leader="none"/>
          <w:tab w:pos="7038" w:val="left" w:leader="none"/>
          <w:tab w:pos="8497" w:val="left" w:leader="none"/>
        </w:tabs>
        <w:spacing w:line="237" w:lineRule="auto" w:before="122" w:after="0"/>
        <w:ind w:left="810" w:right="120" w:hanging="360"/>
        <w:jc w:val="left"/>
        <w:rPr>
          <w:sz w:val="24"/>
        </w:rPr>
      </w:pPr>
      <w:r>
        <w:rPr>
          <w:i/>
          <w:sz w:val="24"/>
        </w:rPr>
        <w:t>Evidência(s):</w:t>
        <w:tab/>
      </w:r>
      <w:r>
        <w:rPr>
          <w:sz w:val="24"/>
        </w:rPr>
        <w:t>proposta</w:t>
        <w:tab/>
        <w:t>orçamentária</w:t>
        <w:tab/>
        <w:t>2014;</w:t>
        <w:tab/>
        <w:t>plano</w:t>
        <w:tab/>
        <w:t>de</w:t>
        <w:tab/>
        <w:t>contratações</w:t>
        <w:tab/>
      </w:r>
      <w:r>
        <w:rPr>
          <w:spacing w:val="-18"/>
          <w:sz w:val="24"/>
        </w:rPr>
        <w:t>e </w:t>
      </w:r>
      <w:r>
        <w:rPr>
          <w:sz w:val="24"/>
        </w:rPr>
        <w:t>considerações da STI na mensagem eletrônica datada de 9 de outubro de</w:t>
      </w:r>
      <w:r>
        <w:rPr>
          <w:spacing w:val="-7"/>
          <w:sz w:val="24"/>
        </w:rPr>
        <w:t> </w:t>
      </w:r>
      <w:r>
        <w:rPr>
          <w:sz w:val="24"/>
        </w:rPr>
        <w:t>2014.</w:t>
      </w:r>
    </w:p>
    <w:p>
      <w:pPr>
        <w:pStyle w:val="BodyText"/>
        <w:spacing w:before="9"/>
        <w:rPr>
          <w:sz w:val="31"/>
        </w:rPr>
      </w:pPr>
    </w:p>
    <w:p>
      <w:pPr>
        <w:pStyle w:val="Heading1"/>
        <w:numPr>
          <w:ilvl w:val="0"/>
          <w:numId w:val="2"/>
        </w:numPr>
        <w:tabs>
          <w:tab w:pos="809" w:val="left" w:leader="none"/>
          <w:tab w:pos="810" w:val="left" w:leader="none"/>
        </w:tabs>
        <w:spacing w:line="240" w:lineRule="auto" w:before="0" w:after="0"/>
        <w:ind w:left="810" w:right="0" w:hanging="351"/>
        <w:jc w:val="left"/>
      </w:pPr>
      <w:bookmarkStart w:name="_bookmark3" w:id="7"/>
      <w:bookmarkEnd w:id="7"/>
      <w:r>
        <w:rPr>
          <w:b w:val="0"/>
        </w:rPr>
      </w:r>
      <w:bookmarkStart w:name="_bookmark3" w:id="8"/>
      <w:bookmarkEnd w:id="8"/>
      <w:r>
        <w:rPr/>
        <w:t>CON</w:t>
      </w:r>
      <w:r>
        <w:rPr/>
        <w:t>CLUSÕES</w:t>
      </w:r>
    </w:p>
    <w:p>
      <w:pPr>
        <w:pStyle w:val="BodyText"/>
        <w:spacing w:before="6"/>
        <w:rPr>
          <w:b/>
          <w:sz w:val="20"/>
        </w:rPr>
      </w:pPr>
    </w:p>
    <w:p>
      <w:pPr>
        <w:pStyle w:val="BodyText"/>
        <w:ind w:left="102" w:right="116"/>
        <w:jc w:val="both"/>
      </w:pPr>
      <w:r>
        <w:rPr/>
        <w:t>Cada vez mais a área de TI tem sido demandada pelas diversas áreas deste Tribunal por intermédio de solicitações voltadas à Solução de TI. Na perspectiva de atendimento e de aprimoramento da governança de TI, e por determinação do CNJ, este Tribunal elaborou, em novembro 2013, Plano de Contratações de Solução de TI.</w:t>
      </w:r>
    </w:p>
    <w:p>
      <w:pPr>
        <w:pStyle w:val="BodyText"/>
        <w:spacing w:before="120"/>
        <w:ind w:left="102" w:right="118"/>
        <w:jc w:val="both"/>
      </w:pPr>
      <w:r>
        <w:rPr/>
        <w:t>O aperfeiçoamento das contratações de soluções de TI demanda investimentos relevantes, seja em pessoas, elaboração de normativos, planejamento ou levantamento dos riscos envolvidos. Para garantir a melhoria dessas contratações, a área técnica de TI depende do apoio da Alta Administração, da padronização, formalização e divulgação de procedimentos, além de capacitação dos servidores</w:t>
      </w:r>
      <w:r>
        <w:rPr>
          <w:spacing w:val="1"/>
        </w:rPr>
        <w:t> </w:t>
      </w:r>
      <w:r>
        <w:rPr/>
        <w:t>envolvidos.</w:t>
      </w:r>
    </w:p>
    <w:p>
      <w:pPr>
        <w:pStyle w:val="BodyText"/>
        <w:spacing w:before="120"/>
        <w:ind w:left="102" w:right="118"/>
        <w:jc w:val="both"/>
      </w:pPr>
      <w:r>
        <w:rPr/>
        <w:t>A análise do cumprimento do nível de adesão às diretrizes estabelecidas pelo CNJ constituiu objeto de avaliação desta auditoria, observado o critério adotado. O diagnóstico resultante das investigações realizadas norteará a gestão quanto às áreas ou atividades que necessitam de intervenção, determinando, inclusive, a atuação em face dos riscos decorrentes das fragilidades detectadas.</w:t>
      </w:r>
    </w:p>
    <w:p>
      <w:pPr>
        <w:pStyle w:val="BodyText"/>
        <w:spacing w:before="121"/>
        <w:ind w:left="102" w:right="116"/>
        <w:jc w:val="both"/>
      </w:pPr>
      <w:r>
        <w:rPr/>
        <w:t>Nesse sentido, analisadas as fontes de informação selecionadas e interpretados os resultados dos testes aplicados ao longo do presente procedimento de auditoria, concluiu-se que a unidade auditada tomou as primeiras medidas para o atendimento das diretrizes do CNJ, contudo, ainda é necessária a incorporação de mecanismos que visem o cumprimento das diretrizes estabelecidas pelo CNJ, tais como: formalização de Estudos Técnicos Preliminares, com fixação de prazos para apresentação; elaboração dos documentos necessários para instrumentalizar a contratação de STIC; designação de equipe de planejamento da contratação para conduzi-lo</w:t>
      </w:r>
      <w:r>
        <w:rPr>
          <w:color w:val="0000CC"/>
        </w:rPr>
        <w:t>; </w:t>
      </w:r>
      <w:r>
        <w:rPr/>
        <w:t>e adequação dos Termos de Referência ao §3º do art. 18 da Resolução CNJ Nº</w:t>
      </w:r>
      <w:r>
        <w:rPr>
          <w:spacing w:val="1"/>
        </w:rPr>
        <w:t> </w:t>
      </w:r>
      <w:r>
        <w:rPr/>
        <w:t>182/2013.</w:t>
      </w:r>
    </w:p>
    <w:p>
      <w:pPr>
        <w:pStyle w:val="BodyText"/>
        <w:spacing w:before="121"/>
        <w:ind w:left="102" w:right="115"/>
        <w:jc w:val="both"/>
      </w:pPr>
      <w:r>
        <w:rPr/>
        <w:t>A efetividade da presente auditoria deriva, contudo, do necessário acompanhamento da implementação das ações de melhoria ora propostas. Nesse intuito, após registrado o acolhimento da COGES, da SCI, bem como da Presidência desta Casa, o cumprimento das recomendações mais relevantes insertas neste relatório e a verificação dos  resultados advindos da implementação do quanto requerido, deverão constituir objeto de rotinas específicas de monitoramento desta Seção de</w:t>
      </w:r>
      <w:r>
        <w:rPr>
          <w:spacing w:val="-2"/>
        </w:rPr>
        <w:t> </w:t>
      </w:r>
      <w:r>
        <w:rPr/>
        <w:t>Auditoria.</w:t>
      </w:r>
    </w:p>
    <w:p>
      <w:pPr>
        <w:pStyle w:val="BodyText"/>
        <w:spacing w:before="8"/>
        <w:rPr>
          <w:sz w:val="31"/>
        </w:rPr>
      </w:pPr>
    </w:p>
    <w:p>
      <w:pPr>
        <w:pStyle w:val="Heading1"/>
        <w:numPr>
          <w:ilvl w:val="0"/>
          <w:numId w:val="2"/>
        </w:numPr>
        <w:tabs>
          <w:tab w:pos="809" w:val="left" w:leader="none"/>
          <w:tab w:pos="810" w:val="left" w:leader="none"/>
        </w:tabs>
        <w:spacing w:line="240" w:lineRule="auto" w:before="0" w:after="0"/>
        <w:ind w:left="810" w:right="0" w:hanging="349"/>
        <w:jc w:val="left"/>
      </w:pPr>
      <w:bookmarkStart w:name="_bookmark4" w:id="9"/>
      <w:bookmarkEnd w:id="9"/>
      <w:r>
        <w:rPr>
          <w:b w:val="0"/>
        </w:rPr>
      </w:r>
      <w:bookmarkStart w:name="_bookmark4" w:id="10"/>
      <w:bookmarkEnd w:id="10"/>
      <w:r>
        <w:rPr/>
        <w:t>P</w:t>
      </w:r>
      <w:r>
        <w:rPr/>
        <w:t>ROPOSTAS DE</w:t>
      </w:r>
      <w:r>
        <w:rPr>
          <w:spacing w:val="-1"/>
        </w:rPr>
        <w:t> </w:t>
      </w:r>
      <w:r>
        <w:rPr/>
        <w:t>ENCAMINHAMENTO</w:t>
      </w:r>
    </w:p>
    <w:p>
      <w:pPr>
        <w:pStyle w:val="BodyText"/>
        <w:spacing w:before="5"/>
        <w:rPr>
          <w:b/>
          <w:sz w:val="20"/>
        </w:rPr>
      </w:pPr>
    </w:p>
    <w:p>
      <w:pPr>
        <w:pStyle w:val="BodyText"/>
        <w:ind w:left="102" w:right="121"/>
        <w:jc w:val="both"/>
      </w:pPr>
      <w:r>
        <w:rPr/>
        <w:t>No tocante às vulnerabilidades evidenciadas no item 3, submete-se ao exame superior, visando posterior homologação pela Presidência desta Casa, as seguintes propostas de encaminhamento:</w:t>
      </w:r>
    </w:p>
    <w:p>
      <w:pPr>
        <w:spacing w:after="0"/>
        <w:jc w:val="both"/>
        <w:sectPr>
          <w:pgSz w:w="11910" w:h="16840"/>
          <w:pgMar w:header="403" w:footer="813" w:top="1540" w:bottom="1000" w:left="1600" w:right="1580"/>
        </w:sectPr>
      </w:pPr>
    </w:p>
    <w:p>
      <w:pPr>
        <w:pStyle w:val="BodyText"/>
        <w:spacing w:before="11"/>
        <w:rPr>
          <w:sz w:val="21"/>
        </w:rPr>
      </w:pPr>
    </w:p>
    <w:p>
      <w:pPr>
        <w:pStyle w:val="ListParagraph"/>
        <w:numPr>
          <w:ilvl w:val="1"/>
          <w:numId w:val="4"/>
        </w:numPr>
        <w:tabs>
          <w:tab w:pos="823" w:val="left" w:leader="none"/>
        </w:tabs>
        <w:spacing w:line="240" w:lineRule="auto" w:before="90" w:after="0"/>
        <w:ind w:left="821" w:right="117" w:hanging="360"/>
        <w:jc w:val="both"/>
        <w:rPr>
          <w:sz w:val="24"/>
        </w:rPr>
      </w:pPr>
      <w:r>
        <w:rPr>
          <w:sz w:val="24"/>
        </w:rPr>
        <w:t>Recomendar à STI que, doravante, quando da elaboração do Plano de Contratações, formalize os Estudos Técnicos Preliminares, previstos na Resolução CNJ nº 182/2013, cujo teor deve contemplar: análise da viabilidade da contratação, sustentação do contrato, estratégia para a contratação e análise  de riscos (ref. subitem</w:t>
      </w:r>
      <w:r>
        <w:rPr>
          <w:spacing w:val="-1"/>
          <w:sz w:val="24"/>
        </w:rPr>
        <w:t> </w:t>
      </w:r>
      <w:r>
        <w:rPr>
          <w:sz w:val="24"/>
        </w:rPr>
        <w:t>3.1);</w:t>
      </w:r>
    </w:p>
    <w:p>
      <w:pPr>
        <w:pStyle w:val="ListParagraph"/>
        <w:numPr>
          <w:ilvl w:val="1"/>
          <w:numId w:val="4"/>
        </w:numPr>
        <w:tabs>
          <w:tab w:pos="823" w:val="left" w:leader="none"/>
        </w:tabs>
        <w:spacing w:line="240" w:lineRule="auto" w:before="117" w:after="0"/>
        <w:ind w:left="821" w:right="117" w:hanging="360"/>
        <w:jc w:val="both"/>
        <w:rPr>
          <w:sz w:val="24"/>
        </w:rPr>
      </w:pPr>
      <w:r>
        <w:rPr>
          <w:sz w:val="24"/>
        </w:rPr>
        <w:t>Recomendar à STI que nos próximos planos de contratações a serem aprovados, estabeleça prazo para a entrega formalizada dos estudos técnicos preliminares (ref. subitem</w:t>
      </w:r>
      <w:r>
        <w:rPr>
          <w:spacing w:val="-1"/>
          <w:sz w:val="24"/>
        </w:rPr>
        <w:t> </w:t>
      </w:r>
      <w:r>
        <w:rPr>
          <w:sz w:val="24"/>
        </w:rPr>
        <w:t>3.2);</w:t>
      </w:r>
    </w:p>
    <w:p>
      <w:pPr>
        <w:pStyle w:val="ListParagraph"/>
        <w:numPr>
          <w:ilvl w:val="1"/>
          <w:numId w:val="4"/>
        </w:numPr>
        <w:tabs>
          <w:tab w:pos="823" w:val="left" w:leader="none"/>
        </w:tabs>
        <w:spacing w:line="240" w:lineRule="auto" w:before="120" w:after="0"/>
        <w:ind w:left="821" w:right="116" w:hanging="360"/>
        <w:jc w:val="both"/>
        <w:rPr>
          <w:sz w:val="24"/>
        </w:rPr>
      </w:pPr>
      <w:r>
        <w:rPr>
          <w:sz w:val="24"/>
        </w:rPr>
        <w:t>Recomendar à Alta Administração que proceda à designação de equipe de Planejamento das Contratações de STIC, a ser composta, se possível, por servidor da área demandante, servidor da área de TI e servidor representante da área administrativa - Secretaria de Gestão Administrativa (SGA) (ref. subitem 3.3);</w:t>
      </w:r>
    </w:p>
    <w:p>
      <w:pPr>
        <w:pStyle w:val="ListParagraph"/>
        <w:numPr>
          <w:ilvl w:val="1"/>
          <w:numId w:val="4"/>
        </w:numPr>
        <w:tabs>
          <w:tab w:pos="823" w:val="left" w:leader="none"/>
        </w:tabs>
        <w:spacing w:line="240" w:lineRule="auto" w:before="121" w:after="0"/>
        <w:ind w:left="821" w:right="116" w:hanging="360"/>
        <w:jc w:val="both"/>
        <w:rPr>
          <w:sz w:val="24"/>
        </w:rPr>
      </w:pPr>
      <w:r>
        <w:rPr>
          <w:sz w:val="24"/>
        </w:rPr>
        <w:t>Recomendar à STI que promova revisão e atualização do plano de contratações de STIC, concomitantemente com as alterações da proposta orçamentária suscitadas nas reuniões do Planejamento de Contratações (PLANCONT) e aprovadas pela Diretoria Geral (ref. subitem</w:t>
      </w:r>
      <w:r>
        <w:rPr>
          <w:spacing w:val="1"/>
          <w:sz w:val="24"/>
        </w:rPr>
        <w:t> </w:t>
      </w:r>
      <w:r>
        <w:rPr>
          <w:sz w:val="24"/>
        </w:rPr>
        <w:t>3.4);</w:t>
      </w:r>
    </w:p>
    <w:p>
      <w:pPr>
        <w:pStyle w:val="ListParagraph"/>
        <w:numPr>
          <w:ilvl w:val="1"/>
          <w:numId w:val="4"/>
        </w:numPr>
        <w:tabs>
          <w:tab w:pos="823" w:val="left" w:leader="none"/>
        </w:tabs>
        <w:spacing w:line="240" w:lineRule="auto" w:before="120" w:after="0"/>
        <w:ind w:left="821" w:right="117" w:hanging="360"/>
        <w:jc w:val="both"/>
        <w:rPr>
          <w:sz w:val="24"/>
        </w:rPr>
      </w:pPr>
      <w:r>
        <w:rPr>
          <w:sz w:val="24"/>
        </w:rPr>
        <w:t>Recomendar à STI que apresente, no prazo de 120 dias, minuta de normativo com vistas a sedimentar os procedimentos necessários à implementação das diretrizes de STIC no âmbito deste Tribunal ou, ainda, que sinalize formalmente a adoção/recepção, ainda que em caráter provisório, de normativo externo de natureza similar (ref. subitem</w:t>
      </w:r>
      <w:r>
        <w:rPr>
          <w:spacing w:val="-2"/>
          <w:sz w:val="24"/>
        </w:rPr>
        <w:t> </w:t>
      </w:r>
      <w:r>
        <w:rPr>
          <w:sz w:val="24"/>
        </w:rPr>
        <w:t>3.5);</w:t>
      </w:r>
    </w:p>
    <w:p>
      <w:pPr>
        <w:pStyle w:val="ListParagraph"/>
        <w:numPr>
          <w:ilvl w:val="1"/>
          <w:numId w:val="4"/>
        </w:numPr>
        <w:tabs>
          <w:tab w:pos="823" w:val="left" w:leader="none"/>
        </w:tabs>
        <w:spacing w:line="240" w:lineRule="auto" w:before="121" w:after="0"/>
        <w:ind w:left="821" w:right="119" w:hanging="360"/>
        <w:jc w:val="both"/>
        <w:rPr>
          <w:sz w:val="24"/>
        </w:rPr>
      </w:pPr>
      <w:r>
        <w:rPr>
          <w:sz w:val="24"/>
        </w:rPr>
        <w:t>Recomendar que, no prazo de 60 dias, a SGP proceda ao levantamento de necessidades de capacitação, principalmente, para os servidores das áreas de TI, COPEG, Assessoria Jurídica, Controle Interno e Administrativa, envolvidos com Contratações de Soluções de TI, de modo a incluir os treinamentos requeridos, no PAC 2015, acompanhando e assegurando sua efetiva execução ao longo do referido exercício (Ref. subitens 3.5 e</w:t>
      </w:r>
      <w:r>
        <w:rPr>
          <w:spacing w:val="-1"/>
          <w:sz w:val="24"/>
        </w:rPr>
        <w:t> </w:t>
      </w:r>
      <w:r>
        <w:rPr>
          <w:sz w:val="24"/>
        </w:rPr>
        <w:t>3.6);</w:t>
      </w:r>
    </w:p>
    <w:p>
      <w:pPr>
        <w:pStyle w:val="ListParagraph"/>
        <w:numPr>
          <w:ilvl w:val="1"/>
          <w:numId w:val="4"/>
        </w:numPr>
        <w:tabs>
          <w:tab w:pos="823" w:val="left" w:leader="none"/>
        </w:tabs>
        <w:spacing w:line="240" w:lineRule="auto" w:before="120" w:after="0"/>
        <w:ind w:left="821" w:right="118" w:hanging="360"/>
        <w:jc w:val="both"/>
        <w:rPr>
          <w:sz w:val="24"/>
        </w:rPr>
      </w:pPr>
      <w:r>
        <w:rPr>
          <w:sz w:val="24"/>
        </w:rPr>
        <w:t>Recomendar à STI que elabore modelo de Termo de Referência padronizado, afeto</w:t>
      </w:r>
      <w:r>
        <w:rPr>
          <w:spacing w:val="17"/>
          <w:sz w:val="24"/>
        </w:rPr>
        <w:t> </w:t>
      </w:r>
      <w:r>
        <w:rPr>
          <w:sz w:val="24"/>
        </w:rPr>
        <w:t>à</w:t>
      </w:r>
      <w:r>
        <w:rPr>
          <w:spacing w:val="19"/>
          <w:sz w:val="24"/>
        </w:rPr>
        <w:t> </w:t>
      </w:r>
      <w:r>
        <w:rPr>
          <w:sz w:val="24"/>
        </w:rPr>
        <w:t>contratação</w:t>
      </w:r>
      <w:r>
        <w:rPr>
          <w:spacing w:val="17"/>
          <w:sz w:val="24"/>
        </w:rPr>
        <w:t> </w:t>
      </w:r>
      <w:r>
        <w:rPr>
          <w:sz w:val="24"/>
        </w:rPr>
        <w:t>de</w:t>
      </w:r>
      <w:r>
        <w:rPr>
          <w:spacing w:val="16"/>
          <w:sz w:val="24"/>
        </w:rPr>
        <w:t> </w:t>
      </w:r>
      <w:r>
        <w:rPr>
          <w:sz w:val="24"/>
        </w:rPr>
        <w:t>STIC,</w:t>
      </w:r>
      <w:r>
        <w:rPr>
          <w:spacing w:val="20"/>
          <w:sz w:val="24"/>
        </w:rPr>
        <w:t> </w:t>
      </w:r>
      <w:r>
        <w:rPr>
          <w:sz w:val="24"/>
        </w:rPr>
        <w:t>contemplando</w:t>
      </w:r>
      <w:r>
        <w:rPr>
          <w:spacing w:val="17"/>
          <w:sz w:val="24"/>
        </w:rPr>
        <w:t> </w:t>
      </w:r>
      <w:r>
        <w:rPr>
          <w:sz w:val="24"/>
        </w:rPr>
        <w:t>os</w:t>
      </w:r>
      <w:r>
        <w:rPr>
          <w:spacing w:val="18"/>
          <w:sz w:val="24"/>
        </w:rPr>
        <w:t> </w:t>
      </w:r>
      <w:r>
        <w:rPr>
          <w:sz w:val="24"/>
        </w:rPr>
        <w:t>elementos</w:t>
      </w:r>
      <w:r>
        <w:rPr>
          <w:spacing w:val="17"/>
          <w:sz w:val="24"/>
        </w:rPr>
        <w:t> </w:t>
      </w:r>
      <w:r>
        <w:rPr>
          <w:sz w:val="24"/>
        </w:rPr>
        <w:t>mínimos</w:t>
      </w:r>
      <w:r>
        <w:rPr>
          <w:spacing w:val="18"/>
          <w:sz w:val="24"/>
        </w:rPr>
        <w:t> </w:t>
      </w:r>
      <w:r>
        <w:rPr>
          <w:sz w:val="24"/>
        </w:rPr>
        <w:t>previstos</w:t>
      </w:r>
      <w:r>
        <w:rPr>
          <w:spacing w:val="18"/>
          <w:sz w:val="24"/>
        </w:rPr>
        <w:t> </w:t>
      </w:r>
      <w:r>
        <w:rPr>
          <w:sz w:val="24"/>
        </w:rPr>
        <w:t>no</w:t>
      </w:r>
    </w:p>
    <w:p>
      <w:pPr>
        <w:pStyle w:val="BodyText"/>
        <w:ind w:left="821"/>
        <w:jc w:val="both"/>
      </w:pPr>
      <w:r>
        <w:rPr/>
        <w:t>§3º, art. 18, da Resolução CNJ nº 182/2013 (ref. subitem 3.6); e</w:t>
      </w:r>
    </w:p>
    <w:p>
      <w:pPr>
        <w:pStyle w:val="ListParagraph"/>
        <w:numPr>
          <w:ilvl w:val="1"/>
          <w:numId w:val="4"/>
        </w:numPr>
        <w:tabs>
          <w:tab w:pos="823" w:val="left" w:leader="none"/>
        </w:tabs>
        <w:spacing w:line="240" w:lineRule="auto" w:before="120" w:after="0"/>
        <w:ind w:left="821" w:right="117" w:hanging="360"/>
        <w:jc w:val="both"/>
        <w:rPr>
          <w:sz w:val="24"/>
        </w:rPr>
      </w:pPr>
      <w:r>
        <w:rPr>
          <w:sz w:val="24"/>
        </w:rPr>
        <w:t>Recomendar à STI que elabore, no prazo de 60 dias, proposta à Alta Administração, indicando os meios necessários para promover a divulgação, no âmbito deste Tribunal, das diretrizes estabelecidas na Resolução CNJ nº 182/2013 (ref. subitem 3.6).</w:t>
      </w:r>
    </w:p>
    <w:p>
      <w:pPr>
        <w:spacing w:after="0" w:line="240" w:lineRule="auto"/>
        <w:jc w:val="both"/>
        <w:rPr>
          <w:sz w:val="24"/>
        </w:rPr>
        <w:sectPr>
          <w:pgSz w:w="11910" w:h="16840"/>
          <w:pgMar w:header="403" w:footer="813" w:top="1540" w:bottom="1000" w:left="1600" w:right="1580"/>
        </w:sectPr>
      </w:pPr>
    </w:p>
    <w:p>
      <w:pPr>
        <w:pStyle w:val="BodyText"/>
        <w:spacing w:before="7"/>
        <w:rPr>
          <w:sz w:val="23"/>
        </w:rPr>
      </w:pPr>
    </w:p>
    <w:p>
      <w:pPr>
        <w:pStyle w:val="Heading1"/>
        <w:spacing w:before="90"/>
        <w:ind w:left="2156" w:right="2076"/>
        <w:jc w:val="center"/>
      </w:pPr>
      <w:r>
        <w:rPr/>
        <w:t>ANEXO AO RELATÓRIO FINAL DE AUDITORIA COORDENADA CNJ DE TI DO TRE-BA – PAAA2014</w:t>
      </w:r>
    </w:p>
    <w:p>
      <w:pPr>
        <w:spacing w:before="155" w:after="6"/>
        <w:ind w:left="120" w:right="0" w:firstLine="0"/>
        <w:jc w:val="left"/>
        <w:rPr>
          <w:sz w:val="22"/>
        </w:rPr>
      </w:pPr>
      <w:r>
        <w:rPr>
          <w:sz w:val="22"/>
        </w:rPr>
        <w:t>Quadro 1: Plano de Contratações de STIC do TRE-BA</w:t>
      </w: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07"/>
      </w:tblGrid>
      <w:tr>
        <w:trPr>
          <w:trHeight w:val="349" w:hRule="atLeast"/>
        </w:trPr>
        <w:tc>
          <w:tcPr>
            <w:tcW w:w="15307" w:type="dxa"/>
            <w:shd w:val="clear" w:color="auto" w:fill="C0C0C0"/>
          </w:tcPr>
          <w:p>
            <w:pPr>
              <w:pStyle w:val="TableParagraph"/>
              <w:spacing w:before="60"/>
              <w:ind w:left="69"/>
              <w:rPr>
                <w:b/>
                <w:sz w:val="20"/>
              </w:rPr>
            </w:pPr>
            <w:r>
              <w:rPr>
                <w:b/>
                <w:sz w:val="20"/>
              </w:rPr>
              <w:t>TRIBUNAL REGIONAL ELEITORAL DA BAHIA</w:t>
            </w:r>
          </w:p>
        </w:tc>
      </w:tr>
      <w:tr>
        <w:trPr>
          <w:trHeight w:val="390" w:hRule="atLeast"/>
        </w:trPr>
        <w:tc>
          <w:tcPr>
            <w:tcW w:w="15307" w:type="dxa"/>
            <w:tcBorders>
              <w:bottom w:val="single" w:sz="4" w:space="0" w:color="000000"/>
            </w:tcBorders>
            <w:shd w:val="clear" w:color="auto" w:fill="C0C0C0"/>
          </w:tcPr>
          <w:p>
            <w:pPr>
              <w:pStyle w:val="TableParagraph"/>
              <w:spacing w:before="79"/>
              <w:ind w:left="69"/>
              <w:rPr>
                <w:b/>
                <w:sz w:val="20"/>
              </w:rPr>
            </w:pPr>
            <w:r>
              <w:rPr>
                <w:b/>
                <w:sz w:val="20"/>
              </w:rPr>
              <w:t>PLANO DE CONTRATAÇÕES DE STIC - ANO</w:t>
            </w:r>
          </w:p>
        </w:tc>
      </w:tr>
    </w:tbl>
    <w:p>
      <w:pPr>
        <w:pStyle w:val="BodyText"/>
        <w:rPr>
          <w:sz w:val="20"/>
        </w:rPr>
      </w:pPr>
    </w:p>
    <w:p>
      <w:pPr>
        <w:pStyle w:val="BodyText"/>
        <w:spacing w:before="10"/>
        <w:rPr>
          <w:sz w:val="19"/>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7"/>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5"/>
              <w:rPr>
                <w:sz w:val="22"/>
              </w:rPr>
            </w:pPr>
          </w:p>
          <w:p>
            <w:pPr>
              <w:pStyle w:val="TableParagraph"/>
              <w:spacing w:before="1"/>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5"/>
              <w:rPr>
                <w:sz w:val="22"/>
              </w:rPr>
            </w:pPr>
          </w:p>
          <w:p>
            <w:pPr>
              <w:pStyle w:val="TableParagraph"/>
              <w:spacing w:before="1"/>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5"/>
              <w:rPr>
                <w:sz w:val="22"/>
              </w:rPr>
            </w:pPr>
          </w:p>
          <w:p>
            <w:pPr>
              <w:pStyle w:val="TableParagraph"/>
              <w:spacing w:before="1"/>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30"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
              <w:rPr>
                <w:sz w:val="18"/>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spacing w:line="206" w:lineRule="exact" w:before="5"/>
              <w:ind w:left="118" w:right="100" w:hanging="1"/>
              <w:jc w:val="center"/>
              <w:rPr>
                <w:b/>
                <w:sz w:val="18"/>
              </w:rPr>
            </w:pPr>
            <w:r>
              <w:rPr>
                <w:b/>
                <w:sz w:val="18"/>
              </w:rPr>
              <w:t>TERMO DE REFERÊNCIA OU PROJETO 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1838"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3"/>
              <w:rPr>
                <w:sz w:val="25"/>
              </w:rPr>
            </w:pPr>
          </w:p>
          <w:p>
            <w:pPr>
              <w:pStyle w:val="TableParagraph"/>
              <w:ind w:left="13"/>
              <w:jc w:val="center"/>
              <w:rPr>
                <w:sz w:val="20"/>
              </w:rPr>
            </w:pPr>
            <w:r>
              <w:rPr>
                <w:w w:val="99"/>
                <w:sz w:val="20"/>
              </w:rPr>
              <w:t>1</w:t>
            </w:r>
          </w:p>
        </w:tc>
        <w:tc>
          <w:tcPr>
            <w:tcW w:w="1419" w:type="dxa"/>
          </w:tcPr>
          <w:p>
            <w:pPr>
              <w:pStyle w:val="TableParagraph"/>
              <w:rPr>
                <w:sz w:val="22"/>
              </w:rPr>
            </w:pPr>
          </w:p>
          <w:p>
            <w:pPr>
              <w:pStyle w:val="TableParagraph"/>
              <w:spacing w:before="3"/>
              <w:rPr>
                <w:sz w:val="17"/>
              </w:rPr>
            </w:pPr>
          </w:p>
          <w:p>
            <w:pPr>
              <w:pStyle w:val="TableParagraph"/>
              <w:tabs>
                <w:tab w:pos="1160" w:val="left" w:leader="none"/>
              </w:tabs>
              <w:ind w:left="74"/>
              <w:rPr>
                <w:sz w:val="20"/>
              </w:rPr>
            </w:pPr>
            <w:r>
              <w:rPr>
                <w:sz w:val="20"/>
              </w:rPr>
              <w:t>Aquisição</w:t>
              <w:tab/>
              <w:t>de</w:t>
            </w:r>
          </w:p>
          <w:p>
            <w:pPr>
              <w:pStyle w:val="TableParagraph"/>
              <w:tabs>
                <w:tab w:pos="1162" w:val="left" w:leader="none"/>
              </w:tabs>
              <w:ind w:left="74" w:right="55"/>
              <w:rPr>
                <w:sz w:val="20"/>
              </w:rPr>
            </w:pPr>
            <w:r>
              <w:rPr>
                <w:sz w:val="20"/>
              </w:rPr>
              <w:t>Material</w:t>
              <w:tab/>
            </w:r>
            <w:r>
              <w:rPr>
                <w:spacing w:val="-9"/>
                <w:sz w:val="20"/>
              </w:rPr>
              <w:t>de </w:t>
            </w:r>
            <w:r>
              <w:rPr>
                <w:sz w:val="20"/>
              </w:rPr>
              <w:t>Processamento de Dados</w:t>
            </w:r>
          </w:p>
        </w:tc>
        <w:tc>
          <w:tcPr>
            <w:tcW w:w="1135" w:type="dxa"/>
          </w:tcPr>
          <w:p>
            <w:pPr>
              <w:pStyle w:val="TableParagraph"/>
              <w:rPr>
                <w:sz w:val="22"/>
              </w:rPr>
            </w:pPr>
          </w:p>
          <w:p>
            <w:pPr>
              <w:pStyle w:val="TableParagraph"/>
              <w:spacing w:before="3"/>
              <w:rPr>
                <w:sz w:val="27"/>
              </w:rPr>
            </w:pPr>
          </w:p>
          <w:p>
            <w:pPr>
              <w:pStyle w:val="TableParagraph"/>
              <w:ind w:left="74" w:right="29"/>
              <w:rPr>
                <w:sz w:val="20"/>
              </w:rPr>
            </w:pPr>
            <w:r>
              <w:rPr>
                <w:sz w:val="20"/>
              </w:rPr>
              <w:t>SEQUIP/ </w:t>
            </w:r>
            <w:r>
              <w:rPr>
                <w:w w:val="95"/>
                <w:sz w:val="20"/>
              </w:rPr>
              <w:t>COINFRA/ </w:t>
            </w:r>
            <w:r>
              <w:rPr>
                <w:sz w:val="20"/>
              </w:rPr>
              <w:t>STI</w:t>
            </w:r>
          </w:p>
        </w:tc>
        <w:tc>
          <w:tcPr>
            <w:tcW w:w="2124" w:type="dxa"/>
          </w:tcPr>
          <w:p>
            <w:pPr>
              <w:pStyle w:val="TableParagraph"/>
              <w:tabs>
                <w:tab w:pos="1779" w:val="left" w:leader="none"/>
              </w:tabs>
              <w:ind w:left="74" w:right="53"/>
              <w:jc w:val="both"/>
              <w:rPr>
                <w:sz w:val="20"/>
              </w:rPr>
            </w:pPr>
            <w:r>
              <w:rPr>
                <w:sz w:val="20"/>
              </w:rPr>
              <w:t>Aquisição de </w:t>
            </w:r>
            <w:r>
              <w:rPr>
                <w:spacing w:val="-3"/>
                <w:sz w:val="20"/>
              </w:rPr>
              <w:t>material </w:t>
            </w:r>
            <w:r>
              <w:rPr>
                <w:sz w:val="20"/>
              </w:rPr>
              <w:t>para viabilizar </w:t>
            </w:r>
            <w:r>
              <w:rPr>
                <w:spacing w:val="-15"/>
                <w:sz w:val="20"/>
              </w:rPr>
              <w:t>a </w:t>
            </w:r>
            <w:r>
              <w:rPr>
                <w:sz w:val="20"/>
              </w:rPr>
              <w:t>manutenção, limpeza </w:t>
            </w:r>
            <w:r>
              <w:rPr>
                <w:spacing w:val="-11"/>
                <w:sz w:val="20"/>
              </w:rPr>
              <w:t>e </w:t>
            </w:r>
            <w:r>
              <w:rPr>
                <w:sz w:val="20"/>
              </w:rPr>
              <w:t>backup</w:t>
              <w:tab/>
            </w:r>
            <w:r>
              <w:rPr>
                <w:spacing w:val="-6"/>
                <w:sz w:val="20"/>
              </w:rPr>
              <w:t>dos</w:t>
            </w:r>
          </w:p>
          <w:p>
            <w:pPr>
              <w:pStyle w:val="TableParagraph"/>
              <w:ind w:left="74" w:right="51"/>
              <w:jc w:val="both"/>
              <w:rPr>
                <w:sz w:val="20"/>
              </w:rPr>
            </w:pPr>
            <w:r>
              <w:rPr>
                <w:sz w:val="20"/>
              </w:rPr>
              <w:t>microcomputadores, aquisição   de   peças </w:t>
            </w:r>
            <w:r>
              <w:rPr>
                <w:spacing w:val="6"/>
                <w:sz w:val="20"/>
              </w:rPr>
              <w:t> </w:t>
            </w:r>
            <w:r>
              <w:rPr>
                <w:spacing w:val="-7"/>
                <w:sz w:val="20"/>
              </w:rPr>
              <w:t>de</w:t>
            </w:r>
          </w:p>
          <w:p>
            <w:pPr>
              <w:pStyle w:val="TableParagraph"/>
              <w:spacing w:line="228" w:lineRule="exact"/>
              <w:ind w:left="74" w:right="51"/>
              <w:jc w:val="both"/>
              <w:rPr>
                <w:sz w:val="20"/>
              </w:rPr>
            </w:pPr>
            <w:r>
              <w:rPr>
                <w:sz w:val="20"/>
              </w:rPr>
              <w:t>reposição para as impressoras.</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3"/>
              <w:rPr>
                <w:sz w:val="25"/>
              </w:rPr>
            </w:pPr>
          </w:p>
          <w:p>
            <w:pPr>
              <w:pStyle w:val="TableParagraph"/>
              <w:ind w:left="75"/>
              <w:rPr>
                <w:sz w:val="20"/>
              </w:rPr>
            </w:pPr>
            <w:r>
              <w:rPr>
                <w:sz w:val="20"/>
              </w:rPr>
              <w:t>3/2/2014*</w:t>
            </w:r>
          </w:p>
        </w:tc>
        <w:tc>
          <w:tcPr>
            <w:tcW w:w="1275" w:type="dxa"/>
          </w:tcPr>
          <w:p>
            <w:pPr>
              <w:pStyle w:val="TableParagraph"/>
              <w:rPr>
                <w:sz w:val="22"/>
              </w:rPr>
            </w:pPr>
          </w:p>
          <w:p>
            <w:pPr>
              <w:pStyle w:val="TableParagraph"/>
              <w:rPr>
                <w:sz w:val="22"/>
              </w:rPr>
            </w:pPr>
          </w:p>
          <w:p>
            <w:pPr>
              <w:pStyle w:val="TableParagraph"/>
              <w:spacing w:before="3"/>
              <w:rPr>
                <w:sz w:val="25"/>
              </w:rPr>
            </w:pPr>
          </w:p>
          <w:p>
            <w:pPr>
              <w:pStyle w:val="TableParagraph"/>
              <w:ind w:left="74"/>
              <w:rPr>
                <w:sz w:val="20"/>
              </w:rPr>
            </w:pPr>
            <w:r>
              <w:rPr>
                <w:sz w:val="20"/>
              </w:rPr>
              <w:t>Consumo</w:t>
            </w:r>
          </w:p>
        </w:tc>
        <w:tc>
          <w:tcPr>
            <w:tcW w:w="994" w:type="dxa"/>
          </w:tcPr>
          <w:p>
            <w:pPr>
              <w:pStyle w:val="TableParagraph"/>
              <w:rPr>
                <w:sz w:val="22"/>
              </w:rPr>
            </w:pPr>
          </w:p>
          <w:p>
            <w:pPr>
              <w:pStyle w:val="TableParagraph"/>
              <w:spacing w:before="3"/>
              <w:rPr>
                <w:sz w:val="27"/>
              </w:rPr>
            </w:pPr>
          </w:p>
          <w:p>
            <w:pPr>
              <w:pStyle w:val="TableParagraph"/>
              <w:ind w:left="74"/>
              <w:rPr>
                <w:sz w:val="20"/>
              </w:rPr>
            </w:pPr>
            <w:r>
              <w:rPr>
                <w:sz w:val="20"/>
              </w:rPr>
              <w:t>02.122.05</w:t>
            </w:r>
          </w:p>
          <w:p>
            <w:pPr>
              <w:pStyle w:val="TableParagraph"/>
              <w:ind w:left="74"/>
              <w:rPr>
                <w:sz w:val="20"/>
              </w:rPr>
            </w:pPr>
            <w:r>
              <w:rPr>
                <w:sz w:val="20"/>
              </w:rPr>
              <w:t>70.20GP.</w:t>
            </w:r>
          </w:p>
          <w:p>
            <w:pPr>
              <w:pStyle w:val="TableParagraph"/>
              <w:spacing w:before="1"/>
              <w:ind w:left="74"/>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3"/>
              <w:rPr>
                <w:sz w:val="25"/>
              </w:rPr>
            </w:pPr>
          </w:p>
          <w:p>
            <w:pPr>
              <w:pStyle w:val="TableParagraph"/>
              <w:ind w:right="54"/>
              <w:jc w:val="right"/>
              <w:rPr>
                <w:sz w:val="20"/>
              </w:rPr>
            </w:pPr>
            <w:r>
              <w:rPr>
                <w:w w:val="95"/>
                <w:sz w:val="20"/>
              </w:rPr>
              <w:t>137.610,00</w:t>
            </w:r>
          </w:p>
        </w:tc>
        <w:tc>
          <w:tcPr>
            <w:tcW w:w="1560" w:type="dxa"/>
          </w:tcPr>
          <w:p>
            <w:pPr>
              <w:pStyle w:val="TableParagraph"/>
              <w:tabs>
                <w:tab w:pos="1327" w:val="left" w:leader="none"/>
                <w:tab w:pos="1402" w:val="left" w:leader="none"/>
              </w:tabs>
              <w:spacing w:before="108"/>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spacing w:before="3"/>
              <w:rPr>
                <w:sz w:val="27"/>
              </w:rPr>
            </w:pPr>
          </w:p>
          <w:p>
            <w:pPr>
              <w:pStyle w:val="TableParagraph"/>
              <w:ind w:left="73" w:right="11"/>
              <w:rPr>
                <w:sz w:val="20"/>
              </w:rPr>
            </w:pPr>
            <w:r>
              <w:rPr>
                <w:sz w:val="20"/>
              </w:rPr>
              <w:t>SEQUIP/ COINFRA</w:t>
            </w:r>
          </w:p>
          <w:p>
            <w:pPr>
              <w:pStyle w:val="TableParagraph"/>
              <w:spacing w:before="1"/>
              <w:ind w:left="73"/>
              <w:rPr>
                <w:sz w:val="20"/>
              </w:rPr>
            </w:pPr>
            <w:r>
              <w:rPr>
                <w:sz w:val="20"/>
              </w:rPr>
              <w:t>/STI</w:t>
            </w:r>
          </w:p>
        </w:tc>
        <w:tc>
          <w:tcPr>
            <w:tcW w:w="1404" w:type="dxa"/>
          </w:tcPr>
          <w:p>
            <w:pPr>
              <w:pStyle w:val="TableParagraph"/>
              <w:spacing w:before="108"/>
              <w:ind w:left="75" w:right="52"/>
              <w:jc w:val="both"/>
              <w:rPr>
                <w:sz w:val="20"/>
              </w:rPr>
            </w:pPr>
            <w:r>
              <w:rPr>
                <w:sz w:val="20"/>
              </w:rPr>
              <w:t>*A data </w:t>
            </w:r>
            <w:r>
              <w:rPr>
                <w:spacing w:val="-8"/>
                <w:sz w:val="20"/>
              </w:rPr>
              <w:t>de </w:t>
            </w:r>
            <w:r>
              <w:rPr>
                <w:sz w:val="20"/>
              </w:rPr>
              <w:t>previsão      </w:t>
            </w:r>
            <w:r>
              <w:rPr>
                <w:spacing w:val="33"/>
                <w:sz w:val="20"/>
              </w:rPr>
              <w:t> </w:t>
            </w:r>
            <w:r>
              <w:rPr>
                <w:spacing w:val="-7"/>
                <w:sz w:val="20"/>
              </w:rPr>
              <w:t>do</w:t>
            </w:r>
          </w:p>
          <w:p>
            <w:pPr>
              <w:pStyle w:val="TableParagraph"/>
              <w:tabs>
                <w:tab w:pos="1150" w:val="left" w:leader="none"/>
              </w:tabs>
              <w:spacing w:line="228" w:lineRule="exact"/>
              <w:ind w:left="75"/>
              <w:jc w:val="both"/>
              <w:rPr>
                <w:sz w:val="20"/>
              </w:rPr>
            </w:pPr>
            <w:r>
              <w:rPr>
                <w:sz w:val="20"/>
              </w:rPr>
              <w:t>Termo</w:t>
              <w:tab/>
              <w:t>de</w:t>
            </w:r>
          </w:p>
          <w:p>
            <w:pPr>
              <w:pStyle w:val="TableParagraph"/>
              <w:ind w:left="75" w:right="50"/>
              <w:jc w:val="both"/>
              <w:rPr>
                <w:sz w:val="20"/>
              </w:rPr>
            </w:pPr>
            <w:r>
              <w:rPr>
                <w:sz w:val="20"/>
              </w:rPr>
              <w:t>referência </w:t>
            </w:r>
            <w:r>
              <w:rPr>
                <w:spacing w:val="-5"/>
                <w:sz w:val="20"/>
              </w:rPr>
              <w:t>ou </w:t>
            </w:r>
            <w:r>
              <w:rPr>
                <w:sz w:val="20"/>
              </w:rPr>
              <w:t>Projeto Básico foi adiada </w:t>
            </w:r>
            <w:r>
              <w:rPr>
                <w:spacing w:val="-4"/>
                <w:sz w:val="20"/>
              </w:rPr>
              <w:t>para </w:t>
            </w:r>
            <w:r>
              <w:rPr>
                <w:sz w:val="20"/>
              </w:rPr>
              <w:t>dia</w:t>
            </w:r>
            <w:r>
              <w:rPr>
                <w:spacing w:val="-3"/>
                <w:sz w:val="20"/>
              </w:rPr>
              <w:t> </w:t>
            </w:r>
            <w:r>
              <w:rPr>
                <w:sz w:val="20"/>
              </w:rPr>
              <w:t>10/03/2014.</w:t>
            </w:r>
          </w:p>
        </w:tc>
      </w:tr>
      <w:tr>
        <w:trPr>
          <w:trHeight w:val="3681"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ind w:left="13"/>
              <w:jc w:val="center"/>
              <w:rPr>
                <w:sz w:val="20"/>
              </w:rPr>
            </w:pPr>
            <w:r>
              <w:rPr>
                <w:w w:val="99"/>
                <w:sz w:val="20"/>
              </w:rPr>
              <w:t>2</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19"/>
              </w:rPr>
            </w:pPr>
          </w:p>
          <w:p>
            <w:pPr>
              <w:pStyle w:val="TableParagraph"/>
              <w:tabs>
                <w:tab w:pos="1160" w:val="left" w:leader="none"/>
              </w:tabs>
              <w:spacing w:before="1"/>
              <w:ind w:left="74" w:right="56"/>
              <w:rPr>
                <w:sz w:val="20"/>
              </w:rPr>
            </w:pPr>
            <w:r>
              <w:rPr>
                <w:sz w:val="20"/>
              </w:rPr>
              <w:t>Aquisição</w:t>
              <w:tab/>
            </w:r>
            <w:r>
              <w:rPr>
                <w:spacing w:val="-8"/>
                <w:sz w:val="20"/>
              </w:rPr>
              <w:t>de </w:t>
            </w:r>
            <w:r>
              <w:rPr>
                <w:sz w:val="20"/>
              </w:rPr>
              <w:t>Equipamentos de</w:t>
            </w:r>
            <w:r>
              <w:rPr>
                <w:spacing w:val="-3"/>
                <w:sz w:val="20"/>
              </w:rPr>
              <w:t> </w:t>
            </w:r>
            <w:r>
              <w:rPr>
                <w:sz w:val="20"/>
              </w:rPr>
              <w:t>Informática</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19"/>
              </w:rPr>
            </w:pPr>
          </w:p>
          <w:p>
            <w:pPr>
              <w:pStyle w:val="TableParagraph"/>
              <w:spacing w:before="1"/>
              <w:ind w:left="74" w:right="29"/>
              <w:rPr>
                <w:sz w:val="20"/>
              </w:rPr>
            </w:pPr>
            <w:r>
              <w:rPr>
                <w:sz w:val="20"/>
              </w:rPr>
              <w:t>SEQUIP/ </w:t>
            </w:r>
            <w:r>
              <w:rPr>
                <w:w w:val="95"/>
                <w:sz w:val="20"/>
              </w:rPr>
              <w:t>COINFRA/ </w:t>
            </w:r>
            <w:r>
              <w:rPr>
                <w:sz w:val="20"/>
              </w:rPr>
              <w:t>STI</w:t>
            </w:r>
          </w:p>
        </w:tc>
        <w:tc>
          <w:tcPr>
            <w:tcW w:w="2124" w:type="dxa"/>
          </w:tcPr>
          <w:p>
            <w:pPr>
              <w:pStyle w:val="TableParagraph"/>
              <w:tabs>
                <w:tab w:pos="1868" w:val="left" w:leader="none"/>
              </w:tabs>
              <w:spacing w:line="223" w:lineRule="exact"/>
              <w:ind w:left="74"/>
              <w:jc w:val="both"/>
              <w:rPr>
                <w:sz w:val="20"/>
              </w:rPr>
            </w:pPr>
            <w:r>
              <w:rPr>
                <w:sz w:val="20"/>
              </w:rPr>
              <w:t>Aquisição</w:t>
              <w:tab/>
              <w:t>de</w:t>
            </w:r>
          </w:p>
          <w:p>
            <w:pPr>
              <w:pStyle w:val="TableParagraph"/>
              <w:tabs>
                <w:tab w:pos="1712" w:val="left" w:leader="none"/>
              </w:tabs>
              <w:ind w:left="74"/>
              <w:jc w:val="both"/>
              <w:rPr>
                <w:sz w:val="20"/>
              </w:rPr>
            </w:pPr>
            <w:r>
              <w:rPr>
                <w:sz w:val="20"/>
              </w:rPr>
              <w:t>equipamentos</w:t>
              <w:tab/>
              <w:t>para</w:t>
            </w:r>
          </w:p>
          <w:p>
            <w:pPr>
              <w:pStyle w:val="TableParagraph"/>
              <w:tabs>
                <w:tab w:pos="1868" w:val="left" w:leader="none"/>
              </w:tabs>
              <w:spacing w:before="1"/>
              <w:ind w:left="74"/>
              <w:jc w:val="both"/>
              <w:rPr>
                <w:sz w:val="20"/>
              </w:rPr>
            </w:pPr>
            <w:r>
              <w:rPr>
                <w:sz w:val="20"/>
              </w:rPr>
              <w:t>substituição</w:t>
              <w:tab/>
              <w:t>de</w:t>
            </w:r>
          </w:p>
          <w:p>
            <w:pPr>
              <w:pStyle w:val="TableParagraph"/>
              <w:tabs>
                <w:tab w:pos="1072" w:val="left" w:leader="none"/>
                <w:tab w:pos="1105" w:val="left" w:leader="none"/>
                <w:tab w:pos="1712" w:val="left" w:leader="none"/>
                <w:tab w:pos="1968" w:val="left" w:leader="none"/>
              </w:tabs>
              <w:ind w:left="74" w:right="50"/>
              <w:jc w:val="both"/>
              <w:rPr>
                <w:sz w:val="20"/>
              </w:rPr>
            </w:pPr>
            <w:r>
              <w:rPr>
                <w:sz w:val="20"/>
              </w:rPr>
              <w:t>equipamentos</w:t>
              <w:tab/>
            </w:r>
            <w:r>
              <w:rPr>
                <w:spacing w:val="-4"/>
                <w:sz w:val="20"/>
              </w:rPr>
              <w:t>com </w:t>
            </w:r>
            <w:r>
              <w:rPr>
                <w:sz w:val="20"/>
              </w:rPr>
              <w:t>defeitos irreparáveis dos Cartórios Eleitorais, aquisição de scanner para digitalização </w:t>
            </w:r>
            <w:r>
              <w:rPr>
                <w:spacing w:val="-7"/>
                <w:sz w:val="20"/>
              </w:rPr>
              <w:t>de </w:t>
            </w:r>
            <w:r>
              <w:rPr>
                <w:sz w:val="20"/>
              </w:rPr>
              <w:t>documentos, aquisição de</w:t>
              <w:tab/>
              <w:tab/>
            </w:r>
            <w:r>
              <w:rPr>
                <w:w w:val="95"/>
                <w:sz w:val="20"/>
              </w:rPr>
              <w:t>impressoras </w:t>
            </w:r>
            <w:r>
              <w:rPr>
                <w:sz w:val="20"/>
              </w:rPr>
              <w:t>matriciais</w:t>
              <w:tab/>
              <w:tab/>
              <w:tab/>
            </w:r>
            <w:r>
              <w:rPr>
                <w:spacing w:val="-4"/>
                <w:sz w:val="20"/>
              </w:rPr>
              <w:t>para </w:t>
            </w:r>
            <w:r>
              <w:rPr>
                <w:sz w:val="20"/>
              </w:rPr>
              <w:t>impressão de títulos, computadores</w:t>
              <w:tab/>
              <w:tab/>
            </w:r>
            <w:r>
              <w:rPr>
                <w:spacing w:val="-13"/>
                <w:sz w:val="20"/>
              </w:rPr>
              <w:t>e </w:t>
            </w:r>
            <w:r>
              <w:rPr>
                <w:sz w:val="20"/>
              </w:rPr>
              <w:t>notebooks para priorizar o</w:t>
              <w:tab/>
            </w:r>
            <w:r>
              <w:rPr>
                <w:w w:val="95"/>
                <w:sz w:val="20"/>
              </w:rPr>
              <w:t>atendimento</w:t>
            </w:r>
          </w:p>
          <w:p>
            <w:pPr>
              <w:pStyle w:val="TableParagraph"/>
              <w:spacing w:line="217" w:lineRule="exact" w:before="1"/>
              <w:ind w:left="74"/>
              <w:rPr>
                <w:sz w:val="20"/>
              </w:rPr>
            </w:pPr>
            <w:r>
              <w:rPr>
                <w:sz w:val="20"/>
              </w:rPr>
              <w:t>itinerante.</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ind w:left="439"/>
              <w:rPr>
                <w:sz w:val="20"/>
              </w:rPr>
            </w:pPr>
            <w:r>
              <w:rPr>
                <w:sz w:val="20"/>
              </w:rPr>
              <w:t>12/12/2013</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ind w:left="74"/>
              <w:rPr>
                <w:sz w:val="20"/>
              </w:rPr>
            </w:pPr>
            <w:r>
              <w:rPr>
                <w:sz w:val="20"/>
              </w:rPr>
              <w:t>Permanente</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19"/>
              </w:rPr>
            </w:pPr>
          </w:p>
          <w:p>
            <w:pPr>
              <w:pStyle w:val="TableParagraph"/>
              <w:spacing w:before="1"/>
              <w:ind w:left="74"/>
              <w:rPr>
                <w:sz w:val="20"/>
              </w:rPr>
            </w:pPr>
            <w:r>
              <w:rPr>
                <w:sz w:val="20"/>
              </w:rPr>
              <w:t>02.122.05</w:t>
            </w:r>
          </w:p>
          <w:p>
            <w:pPr>
              <w:pStyle w:val="TableParagraph"/>
              <w:ind w:left="74"/>
              <w:rPr>
                <w:sz w:val="20"/>
              </w:rPr>
            </w:pPr>
            <w:r>
              <w:rPr>
                <w:sz w:val="20"/>
              </w:rPr>
              <w:t>70.20GP.</w:t>
            </w:r>
          </w:p>
          <w:p>
            <w:pPr>
              <w:pStyle w:val="TableParagraph"/>
              <w:spacing w:before="1"/>
              <w:ind w:left="74"/>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ind w:right="54"/>
              <w:jc w:val="right"/>
              <w:rPr>
                <w:sz w:val="20"/>
              </w:rPr>
            </w:pPr>
            <w:r>
              <w:rPr>
                <w:w w:val="95"/>
                <w:sz w:val="20"/>
              </w:rPr>
              <w:t>514.099,00</w:t>
            </w:r>
          </w:p>
        </w:tc>
        <w:tc>
          <w:tcPr>
            <w:tcW w:w="1560" w:type="dxa"/>
          </w:tcPr>
          <w:p>
            <w:pPr>
              <w:pStyle w:val="TableParagraph"/>
              <w:rPr>
                <w:sz w:val="22"/>
              </w:rPr>
            </w:pPr>
          </w:p>
          <w:p>
            <w:pPr>
              <w:pStyle w:val="TableParagraph"/>
              <w:rPr>
                <w:sz w:val="22"/>
              </w:rPr>
            </w:pPr>
          </w:p>
          <w:p>
            <w:pPr>
              <w:pStyle w:val="TableParagraph"/>
              <w:rPr>
                <w:sz w:val="22"/>
              </w:rPr>
            </w:pPr>
          </w:p>
          <w:p>
            <w:pPr>
              <w:pStyle w:val="TableParagraph"/>
              <w:spacing w:before="6"/>
              <w:rPr>
                <w:sz w:val="23"/>
              </w:rPr>
            </w:pPr>
          </w:p>
          <w:p>
            <w:pPr>
              <w:pStyle w:val="TableParagraph"/>
              <w:tabs>
                <w:tab w:pos="1327" w:val="left" w:leader="none"/>
                <w:tab w:pos="1402" w:val="left" w:leader="none"/>
              </w:tabs>
              <w:ind w:left="73" w:right="54"/>
              <w:rPr>
                <w:sz w:val="20"/>
              </w:rPr>
            </w:pPr>
            <w:r>
              <w:rPr>
                <w:sz w:val="20"/>
              </w:rPr>
              <w:t>Garantir</w:t>
              <w:tab/>
              <w:tab/>
            </w:r>
            <w:r>
              <w:rPr>
                <w:spacing w:val="-16"/>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19"/>
              </w:rPr>
            </w:pPr>
          </w:p>
          <w:p>
            <w:pPr>
              <w:pStyle w:val="TableParagraph"/>
              <w:spacing w:before="1"/>
              <w:ind w:left="73" w:right="11"/>
              <w:rPr>
                <w:sz w:val="20"/>
              </w:rPr>
            </w:pPr>
            <w:r>
              <w:rPr>
                <w:sz w:val="20"/>
              </w:rPr>
              <w:t>SEQUIP/ COINFRA</w:t>
            </w:r>
          </w:p>
          <w:p>
            <w:pPr>
              <w:pStyle w:val="TableParagraph"/>
              <w:spacing w:before="1"/>
              <w:ind w:left="73"/>
              <w:rPr>
                <w:sz w:val="20"/>
              </w:rPr>
            </w:pPr>
            <w:r>
              <w:rPr>
                <w:sz w:val="20"/>
              </w:rPr>
              <w:t>/STI</w:t>
            </w:r>
          </w:p>
        </w:tc>
        <w:tc>
          <w:tcPr>
            <w:tcW w:w="1404" w:type="dxa"/>
          </w:tcPr>
          <w:p>
            <w:pPr>
              <w:pStyle w:val="TableParagraph"/>
              <w:rPr>
                <w:sz w:val="18"/>
              </w:rPr>
            </w:pPr>
          </w:p>
        </w:tc>
      </w:tr>
    </w:tbl>
    <w:p>
      <w:pPr>
        <w:spacing w:after="0"/>
        <w:rPr>
          <w:sz w:val="18"/>
        </w:rPr>
        <w:sectPr>
          <w:headerReference w:type="default" r:id="rId10"/>
          <w:footerReference w:type="default" r:id="rId11"/>
          <w:pgSz w:w="16840" w:h="11910" w:orient="landscape"/>
          <w:pgMar w:header="360" w:footer="814" w:top="1540" w:bottom="1000" w:left="600" w:right="680"/>
          <w:pgNumType w:start="17"/>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2069"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spacing w:before="154"/>
              <w:ind w:left="13"/>
              <w:jc w:val="center"/>
              <w:rPr>
                <w:sz w:val="20"/>
              </w:rPr>
            </w:pPr>
            <w:r>
              <w:rPr>
                <w:w w:val="99"/>
                <w:sz w:val="20"/>
              </w:rPr>
              <w:t>3</w:t>
            </w:r>
          </w:p>
        </w:tc>
        <w:tc>
          <w:tcPr>
            <w:tcW w:w="1419" w:type="dxa"/>
          </w:tcPr>
          <w:p>
            <w:pPr>
              <w:pStyle w:val="TableParagraph"/>
              <w:spacing w:before="5"/>
              <w:rPr>
                <w:sz w:val="29"/>
              </w:rPr>
            </w:pPr>
          </w:p>
          <w:p>
            <w:pPr>
              <w:pStyle w:val="TableParagraph"/>
              <w:tabs>
                <w:tab w:pos="1007" w:val="left" w:leader="none"/>
              </w:tabs>
              <w:ind w:left="74"/>
              <w:rPr>
                <w:sz w:val="20"/>
              </w:rPr>
            </w:pPr>
            <w:r>
              <w:rPr>
                <w:sz w:val="20"/>
              </w:rPr>
              <w:t>ARP</w:t>
              <w:tab/>
              <w:t>para</w:t>
            </w:r>
          </w:p>
          <w:p>
            <w:pPr>
              <w:pStyle w:val="TableParagraph"/>
              <w:tabs>
                <w:tab w:pos="486" w:val="left" w:leader="none"/>
                <w:tab w:pos="1160" w:val="left" w:leader="none"/>
              </w:tabs>
              <w:spacing w:before="1"/>
              <w:ind w:left="74" w:right="56"/>
              <w:rPr>
                <w:sz w:val="20"/>
              </w:rPr>
            </w:pPr>
            <w:r>
              <w:rPr>
                <w:sz w:val="20"/>
              </w:rPr>
              <w:t>aquisição</w:t>
              <w:tab/>
            </w:r>
            <w:r>
              <w:rPr>
                <w:spacing w:val="-8"/>
                <w:sz w:val="20"/>
              </w:rPr>
              <w:t>da </w:t>
            </w:r>
            <w:r>
              <w:rPr>
                <w:sz w:val="20"/>
              </w:rPr>
              <w:t>redundância </w:t>
            </w:r>
            <w:r>
              <w:rPr>
                <w:spacing w:val="-7"/>
                <w:sz w:val="20"/>
              </w:rPr>
              <w:t>da </w:t>
            </w:r>
            <w:r>
              <w:rPr>
                <w:sz w:val="20"/>
              </w:rPr>
              <w:t>Modernização do</w:t>
              <w:tab/>
            </w:r>
            <w:r>
              <w:rPr>
                <w:spacing w:val="-3"/>
                <w:sz w:val="20"/>
              </w:rPr>
              <w:t>Datacenter </w:t>
            </w:r>
            <w:r>
              <w:rPr>
                <w:sz w:val="20"/>
              </w:rPr>
              <w:t>do</w:t>
            </w:r>
            <w:r>
              <w:rPr>
                <w:spacing w:val="-1"/>
                <w:sz w:val="20"/>
              </w:rPr>
              <w:t> </w:t>
            </w:r>
            <w:r>
              <w:rPr>
                <w:sz w:val="20"/>
              </w:rPr>
              <w:t>TRE-BA</w:t>
            </w:r>
          </w:p>
        </w:tc>
        <w:tc>
          <w:tcPr>
            <w:tcW w:w="1135" w:type="dxa"/>
          </w:tcPr>
          <w:p>
            <w:pPr>
              <w:pStyle w:val="TableParagraph"/>
              <w:rPr>
                <w:sz w:val="22"/>
              </w:rPr>
            </w:pPr>
          </w:p>
          <w:p>
            <w:pPr>
              <w:pStyle w:val="TableParagraph"/>
              <w:rPr>
                <w:sz w:val="22"/>
              </w:rPr>
            </w:pPr>
          </w:p>
          <w:p>
            <w:pPr>
              <w:pStyle w:val="TableParagraph"/>
              <w:spacing w:before="176"/>
              <w:ind w:left="74" w:right="29"/>
              <w:rPr>
                <w:sz w:val="20"/>
              </w:rPr>
            </w:pPr>
            <w:r>
              <w:rPr>
                <w:sz w:val="20"/>
              </w:rPr>
              <w:t>SESOP/ </w:t>
            </w:r>
            <w:r>
              <w:rPr>
                <w:w w:val="95"/>
                <w:sz w:val="20"/>
              </w:rPr>
              <w:t>COINFRA/ </w:t>
            </w:r>
            <w:r>
              <w:rPr>
                <w:sz w:val="20"/>
              </w:rPr>
              <w:t>STI</w:t>
            </w:r>
          </w:p>
        </w:tc>
        <w:tc>
          <w:tcPr>
            <w:tcW w:w="2124" w:type="dxa"/>
          </w:tcPr>
          <w:p>
            <w:pPr>
              <w:pStyle w:val="TableParagraph"/>
              <w:tabs>
                <w:tab w:pos="1781" w:val="left" w:leader="none"/>
              </w:tabs>
              <w:ind w:left="74" w:right="52"/>
              <w:jc w:val="both"/>
              <w:rPr>
                <w:sz w:val="20"/>
              </w:rPr>
            </w:pPr>
            <w:r>
              <w:rPr>
                <w:sz w:val="20"/>
              </w:rPr>
              <w:t>Aquisição referente à segunda etapa </w:t>
            </w:r>
            <w:r>
              <w:rPr>
                <w:spacing w:val="-6"/>
                <w:sz w:val="20"/>
              </w:rPr>
              <w:t>da </w:t>
            </w:r>
            <w:r>
              <w:rPr>
                <w:sz w:val="20"/>
              </w:rPr>
              <w:t>modernização</w:t>
              <w:tab/>
            </w:r>
            <w:r>
              <w:rPr>
                <w:spacing w:val="-6"/>
                <w:sz w:val="20"/>
              </w:rPr>
              <w:t>dos </w:t>
            </w:r>
            <w:r>
              <w:rPr>
                <w:sz w:val="20"/>
              </w:rPr>
              <w:t>equipamentos servidores do datacenter, de </w:t>
            </w:r>
            <w:r>
              <w:rPr>
                <w:spacing w:val="-5"/>
                <w:sz w:val="20"/>
              </w:rPr>
              <w:t>modo  </w:t>
            </w:r>
            <w:r>
              <w:rPr>
                <w:sz w:val="20"/>
              </w:rPr>
              <w:t>a prover a redundância necessária à garantia de alta   disponibilidade </w:t>
            </w:r>
            <w:r>
              <w:rPr>
                <w:spacing w:val="19"/>
                <w:sz w:val="20"/>
              </w:rPr>
              <w:t> </w:t>
            </w:r>
            <w:r>
              <w:rPr>
                <w:spacing w:val="-6"/>
                <w:sz w:val="20"/>
              </w:rPr>
              <w:t>de</w:t>
            </w:r>
          </w:p>
          <w:p>
            <w:pPr>
              <w:pStyle w:val="TableParagraph"/>
              <w:spacing w:line="215" w:lineRule="exact"/>
              <w:ind w:left="74"/>
              <w:jc w:val="both"/>
              <w:rPr>
                <w:sz w:val="20"/>
              </w:rPr>
            </w:pPr>
            <w:r>
              <w:rPr>
                <w:sz w:val="20"/>
              </w:rPr>
              <w:t>serviços de TIC</w:t>
            </w:r>
            <w:r>
              <w:rPr>
                <w:spacing w:val="-7"/>
                <w:sz w:val="20"/>
              </w:rPr>
              <w:t> </w:t>
            </w:r>
            <w:r>
              <w:rPr>
                <w:sz w:val="20"/>
              </w:rPr>
              <w:t>críticos.</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spacing w:before="154"/>
              <w:ind w:left="237" w:right="220"/>
              <w:jc w:val="center"/>
              <w:rPr>
                <w:sz w:val="20"/>
              </w:rPr>
            </w:pPr>
            <w:r>
              <w:rPr>
                <w:sz w:val="20"/>
              </w:rPr>
              <w:t>12/12/2013</w:t>
            </w:r>
          </w:p>
        </w:tc>
        <w:tc>
          <w:tcPr>
            <w:tcW w:w="1275" w:type="dxa"/>
          </w:tcPr>
          <w:p>
            <w:pPr>
              <w:pStyle w:val="TableParagraph"/>
              <w:rPr>
                <w:sz w:val="22"/>
              </w:rPr>
            </w:pPr>
          </w:p>
          <w:p>
            <w:pPr>
              <w:pStyle w:val="TableParagraph"/>
              <w:rPr>
                <w:sz w:val="22"/>
              </w:rPr>
            </w:pPr>
          </w:p>
          <w:p>
            <w:pPr>
              <w:pStyle w:val="TableParagraph"/>
              <w:rPr>
                <w:sz w:val="22"/>
              </w:rPr>
            </w:pPr>
          </w:p>
          <w:p>
            <w:pPr>
              <w:pStyle w:val="TableParagraph"/>
              <w:spacing w:before="154"/>
              <w:ind w:right="152"/>
              <w:jc w:val="right"/>
              <w:rPr>
                <w:sz w:val="20"/>
              </w:rPr>
            </w:pPr>
            <w:r>
              <w:rPr>
                <w:sz w:val="20"/>
              </w:rPr>
              <w:t>Permanente</w:t>
            </w:r>
          </w:p>
        </w:tc>
        <w:tc>
          <w:tcPr>
            <w:tcW w:w="994" w:type="dxa"/>
          </w:tcPr>
          <w:p>
            <w:pPr>
              <w:pStyle w:val="TableParagraph"/>
              <w:rPr>
                <w:sz w:val="22"/>
              </w:rPr>
            </w:pPr>
          </w:p>
          <w:p>
            <w:pPr>
              <w:pStyle w:val="TableParagraph"/>
              <w:rPr>
                <w:sz w:val="22"/>
              </w:rPr>
            </w:pPr>
          </w:p>
          <w:p>
            <w:pPr>
              <w:pStyle w:val="TableParagraph"/>
              <w:spacing w:before="176"/>
              <w:ind w:left="54" w:right="38"/>
              <w:jc w:val="center"/>
              <w:rPr>
                <w:sz w:val="20"/>
              </w:rPr>
            </w:pPr>
            <w:r>
              <w:rPr>
                <w:sz w:val="20"/>
              </w:rPr>
              <w:t>02.122.05</w:t>
            </w:r>
          </w:p>
          <w:p>
            <w:pPr>
              <w:pStyle w:val="TableParagraph"/>
              <w:spacing w:before="1"/>
              <w:ind w:left="54" w:right="38"/>
              <w:jc w:val="center"/>
              <w:rPr>
                <w:sz w:val="20"/>
              </w:rPr>
            </w:pPr>
            <w:r>
              <w:rPr>
                <w:sz w:val="20"/>
              </w:rPr>
              <w:t>70.20GP.</w:t>
            </w:r>
          </w:p>
          <w:p>
            <w:pPr>
              <w:pStyle w:val="TableParagraph"/>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spacing w:before="154"/>
              <w:ind w:right="54"/>
              <w:jc w:val="right"/>
              <w:rPr>
                <w:sz w:val="20"/>
              </w:rPr>
            </w:pPr>
            <w:r>
              <w:rPr>
                <w:w w:val="95"/>
                <w:sz w:val="20"/>
              </w:rPr>
              <w:t>289.000,00</w:t>
            </w:r>
          </w:p>
        </w:tc>
        <w:tc>
          <w:tcPr>
            <w:tcW w:w="1560" w:type="dxa"/>
          </w:tcPr>
          <w:p>
            <w:pPr>
              <w:pStyle w:val="TableParagraph"/>
              <w:spacing w:before="5"/>
              <w:rPr>
                <w:sz w:val="19"/>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spacing w:before="176"/>
              <w:ind w:left="73" w:right="11"/>
              <w:rPr>
                <w:sz w:val="20"/>
              </w:rPr>
            </w:pPr>
            <w:r>
              <w:rPr>
                <w:sz w:val="20"/>
              </w:rPr>
              <w:t>SESOP/ COINFRA</w:t>
            </w:r>
          </w:p>
          <w:p>
            <w:pPr>
              <w:pStyle w:val="TableParagraph"/>
              <w:spacing w:before="1"/>
              <w:ind w:left="73"/>
              <w:rPr>
                <w:sz w:val="20"/>
              </w:rPr>
            </w:pPr>
            <w:r>
              <w:rPr>
                <w:sz w:val="20"/>
              </w:rPr>
              <w:t>/STI</w:t>
            </w:r>
          </w:p>
        </w:tc>
        <w:tc>
          <w:tcPr>
            <w:tcW w:w="1404" w:type="dxa"/>
          </w:tcPr>
          <w:p>
            <w:pPr>
              <w:pStyle w:val="TableParagraph"/>
              <w:rPr>
                <w:sz w:val="18"/>
              </w:rPr>
            </w:pPr>
          </w:p>
        </w:tc>
      </w:tr>
      <w:tr>
        <w:trPr>
          <w:trHeight w:val="1610" w:hRule="atLeast"/>
        </w:trPr>
        <w:tc>
          <w:tcPr>
            <w:tcW w:w="576" w:type="dxa"/>
            <w:tcBorders>
              <w:left w:val="single" w:sz="8" w:space="0" w:color="000000"/>
            </w:tcBorders>
            <w:shd w:val="clear" w:color="auto" w:fill="FFFF00"/>
          </w:tcPr>
          <w:p>
            <w:pPr>
              <w:pStyle w:val="TableParagraph"/>
              <w:rPr>
                <w:sz w:val="22"/>
              </w:rPr>
            </w:pPr>
          </w:p>
          <w:p>
            <w:pPr>
              <w:pStyle w:val="TableParagraph"/>
              <w:rPr>
                <w:sz w:val="22"/>
              </w:rPr>
            </w:pPr>
          </w:p>
          <w:p>
            <w:pPr>
              <w:pStyle w:val="TableParagraph"/>
              <w:spacing w:before="178"/>
              <w:ind w:left="13"/>
              <w:jc w:val="center"/>
              <w:rPr>
                <w:sz w:val="20"/>
              </w:rPr>
            </w:pPr>
            <w:r>
              <w:rPr>
                <w:w w:val="99"/>
                <w:sz w:val="20"/>
              </w:rPr>
              <w:t>4</w:t>
            </w:r>
          </w:p>
        </w:tc>
        <w:tc>
          <w:tcPr>
            <w:tcW w:w="1419" w:type="dxa"/>
          </w:tcPr>
          <w:p>
            <w:pPr>
              <w:pStyle w:val="TableParagraph"/>
              <w:spacing w:before="5"/>
              <w:rPr>
                <w:sz w:val="29"/>
              </w:rPr>
            </w:pPr>
          </w:p>
          <w:p>
            <w:pPr>
              <w:pStyle w:val="TableParagraph"/>
              <w:ind w:left="74"/>
              <w:jc w:val="both"/>
              <w:rPr>
                <w:sz w:val="20"/>
              </w:rPr>
            </w:pPr>
            <w:r>
              <w:rPr>
                <w:sz w:val="20"/>
              </w:rPr>
              <w:t>Aquisição de</w:t>
            </w:r>
          </w:p>
          <w:p>
            <w:pPr>
              <w:pStyle w:val="TableParagraph"/>
              <w:ind w:left="74" w:right="54"/>
              <w:jc w:val="both"/>
              <w:rPr>
                <w:sz w:val="20"/>
              </w:rPr>
            </w:pPr>
            <w:r>
              <w:rPr>
                <w:sz w:val="20"/>
              </w:rPr>
              <w:t>Switches - Adesão à ARP MPOG</w:t>
            </w:r>
          </w:p>
        </w:tc>
        <w:tc>
          <w:tcPr>
            <w:tcW w:w="1135" w:type="dxa"/>
          </w:tcPr>
          <w:p>
            <w:pPr>
              <w:pStyle w:val="TableParagraph"/>
              <w:rPr>
                <w:sz w:val="22"/>
              </w:rPr>
            </w:pPr>
          </w:p>
          <w:p>
            <w:pPr>
              <w:pStyle w:val="TableParagraph"/>
              <w:spacing w:before="5"/>
              <w:rPr>
                <w:sz w:val="17"/>
              </w:rPr>
            </w:pPr>
          </w:p>
          <w:p>
            <w:pPr>
              <w:pStyle w:val="TableParagraph"/>
              <w:ind w:left="74" w:right="29"/>
              <w:rPr>
                <w:sz w:val="20"/>
              </w:rPr>
            </w:pPr>
            <w:r>
              <w:rPr>
                <w:sz w:val="20"/>
              </w:rPr>
              <w:t>SERTEL/ </w:t>
            </w:r>
            <w:r>
              <w:rPr>
                <w:w w:val="95"/>
                <w:sz w:val="20"/>
              </w:rPr>
              <w:t>COINFRA/ </w:t>
            </w:r>
            <w:r>
              <w:rPr>
                <w:sz w:val="20"/>
              </w:rPr>
              <w:t>STI</w:t>
            </w:r>
          </w:p>
        </w:tc>
        <w:tc>
          <w:tcPr>
            <w:tcW w:w="2124" w:type="dxa"/>
          </w:tcPr>
          <w:p>
            <w:pPr>
              <w:pStyle w:val="TableParagraph"/>
              <w:rPr>
                <w:sz w:val="22"/>
              </w:rPr>
            </w:pPr>
          </w:p>
          <w:p>
            <w:pPr>
              <w:pStyle w:val="TableParagraph"/>
              <w:spacing w:before="5"/>
              <w:rPr>
                <w:sz w:val="17"/>
              </w:rPr>
            </w:pPr>
          </w:p>
          <w:p>
            <w:pPr>
              <w:pStyle w:val="TableParagraph"/>
              <w:tabs>
                <w:tab w:pos="1868" w:val="left" w:leader="none"/>
              </w:tabs>
              <w:ind w:left="74" w:right="54"/>
              <w:jc w:val="both"/>
              <w:rPr>
                <w:sz w:val="20"/>
              </w:rPr>
            </w:pPr>
            <w:r>
              <w:rPr>
                <w:sz w:val="20"/>
              </w:rPr>
              <w:t>Substituição</w:t>
              <w:tab/>
            </w:r>
            <w:r>
              <w:rPr>
                <w:spacing w:val="-9"/>
                <w:sz w:val="20"/>
              </w:rPr>
              <w:t>de </w:t>
            </w:r>
            <w:r>
              <w:rPr>
                <w:sz w:val="20"/>
              </w:rPr>
              <w:t>equipamentos obsoletos e fora de</w:t>
            </w:r>
            <w:r>
              <w:rPr>
                <w:spacing w:val="-2"/>
                <w:sz w:val="20"/>
              </w:rPr>
              <w:t> </w:t>
            </w:r>
            <w:r>
              <w:rPr>
                <w:sz w:val="20"/>
              </w:rPr>
              <w:t>garantia.</w:t>
            </w:r>
          </w:p>
        </w:tc>
        <w:tc>
          <w:tcPr>
            <w:tcW w:w="1135" w:type="dxa"/>
          </w:tcPr>
          <w:p>
            <w:pPr>
              <w:pStyle w:val="TableParagraph"/>
              <w:rPr>
                <w:sz w:val="18"/>
              </w:rPr>
            </w:pPr>
          </w:p>
        </w:tc>
        <w:tc>
          <w:tcPr>
            <w:tcW w:w="1419" w:type="dxa"/>
          </w:tcPr>
          <w:p>
            <w:pPr>
              <w:pStyle w:val="TableParagraph"/>
              <w:rPr>
                <w:sz w:val="18"/>
              </w:rPr>
            </w:pPr>
          </w:p>
        </w:tc>
        <w:tc>
          <w:tcPr>
            <w:tcW w:w="1275" w:type="dxa"/>
          </w:tcPr>
          <w:p>
            <w:pPr>
              <w:pStyle w:val="TableParagraph"/>
              <w:rPr>
                <w:sz w:val="22"/>
              </w:rPr>
            </w:pPr>
          </w:p>
          <w:p>
            <w:pPr>
              <w:pStyle w:val="TableParagraph"/>
              <w:rPr>
                <w:sz w:val="22"/>
              </w:rPr>
            </w:pPr>
          </w:p>
          <w:p>
            <w:pPr>
              <w:pStyle w:val="TableParagraph"/>
              <w:spacing w:before="178"/>
              <w:ind w:right="152"/>
              <w:jc w:val="right"/>
              <w:rPr>
                <w:sz w:val="20"/>
              </w:rPr>
            </w:pPr>
            <w:r>
              <w:rPr>
                <w:sz w:val="20"/>
              </w:rPr>
              <w:t>Permanente</w:t>
            </w:r>
          </w:p>
        </w:tc>
        <w:tc>
          <w:tcPr>
            <w:tcW w:w="994" w:type="dxa"/>
          </w:tcPr>
          <w:p>
            <w:pPr>
              <w:pStyle w:val="TableParagraph"/>
              <w:rPr>
                <w:sz w:val="22"/>
              </w:rPr>
            </w:pPr>
          </w:p>
          <w:p>
            <w:pPr>
              <w:pStyle w:val="TableParagraph"/>
              <w:spacing w:before="5"/>
              <w:rPr>
                <w:sz w:val="17"/>
              </w:rPr>
            </w:pPr>
          </w:p>
          <w:p>
            <w:pPr>
              <w:pStyle w:val="TableParagraph"/>
              <w:ind w:left="54" w:right="38"/>
              <w:jc w:val="center"/>
              <w:rPr>
                <w:sz w:val="20"/>
              </w:rPr>
            </w:pPr>
            <w:r>
              <w:rPr>
                <w:sz w:val="20"/>
              </w:rPr>
              <w:t>02.122.05</w:t>
            </w:r>
          </w:p>
          <w:p>
            <w:pPr>
              <w:pStyle w:val="TableParagraph"/>
              <w:spacing w:before="1"/>
              <w:ind w:left="54" w:right="38"/>
              <w:jc w:val="center"/>
              <w:rPr>
                <w:sz w:val="20"/>
              </w:rPr>
            </w:pPr>
            <w:r>
              <w:rPr>
                <w:sz w:val="20"/>
              </w:rPr>
              <w:t>70.20GP.</w:t>
            </w:r>
          </w:p>
          <w:p>
            <w:pPr>
              <w:pStyle w:val="TableParagraph"/>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8"/>
              <w:ind w:right="54"/>
              <w:jc w:val="right"/>
              <w:rPr>
                <w:sz w:val="20"/>
              </w:rPr>
            </w:pPr>
            <w:r>
              <w:rPr>
                <w:w w:val="95"/>
                <w:sz w:val="20"/>
              </w:rPr>
              <w:t>110.325,00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5"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ind w:left="73" w:right="11"/>
              <w:rPr>
                <w:sz w:val="20"/>
              </w:rPr>
            </w:pPr>
            <w:r>
              <w:rPr>
                <w:sz w:val="20"/>
              </w:rPr>
              <w:t>SERTEL/ COINFRA</w:t>
            </w:r>
          </w:p>
          <w:p>
            <w:pPr>
              <w:pStyle w:val="TableParagraph"/>
              <w:spacing w:before="1"/>
              <w:ind w:left="73"/>
              <w:rPr>
                <w:sz w:val="20"/>
              </w:rPr>
            </w:pPr>
            <w:r>
              <w:rPr>
                <w:sz w:val="20"/>
              </w:rPr>
              <w:t>/STI</w:t>
            </w:r>
          </w:p>
        </w:tc>
        <w:tc>
          <w:tcPr>
            <w:tcW w:w="1404" w:type="dxa"/>
          </w:tcPr>
          <w:p>
            <w:pPr>
              <w:pStyle w:val="TableParagraph"/>
              <w:rPr>
                <w:sz w:val="18"/>
              </w:rPr>
            </w:pPr>
          </w:p>
        </w:tc>
      </w:tr>
      <w:tr>
        <w:trPr>
          <w:trHeight w:val="1609"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178"/>
              <w:ind w:left="13"/>
              <w:jc w:val="center"/>
              <w:rPr>
                <w:sz w:val="20"/>
              </w:rPr>
            </w:pPr>
            <w:r>
              <w:rPr>
                <w:w w:val="99"/>
                <w:sz w:val="20"/>
              </w:rPr>
              <w:t>5</w:t>
            </w:r>
          </w:p>
        </w:tc>
        <w:tc>
          <w:tcPr>
            <w:tcW w:w="1419" w:type="dxa"/>
          </w:tcPr>
          <w:p>
            <w:pPr>
              <w:pStyle w:val="TableParagraph"/>
              <w:spacing w:before="5"/>
              <w:rPr>
                <w:sz w:val="29"/>
              </w:rPr>
            </w:pPr>
          </w:p>
          <w:p>
            <w:pPr>
              <w:pStyle w:val="TableParagraph"/>
              <w:tabs>
                <w:tab w:pos="937" w:val="left" w:leader="none"/>
                <w:tab w:pos="1160" w:val="left" w:leader="none"/>
              </w:tabs>
              <w:ind w:left="74" w:right="54"/>
              <w:rPr>
                <w:sz w:val="20"/>
              </w:rPr>
            </w:pPr>
            <w:r>
              <w:rPr>
                <w:sz w:val="20"/>
              </w:rPr>
              <w:t>Aquisição</w:t>
              <w:tab/>
              <w:tab/>
            </w:r>
            <w:r>
              <w:rPr>
                <w:spacing w:val="-7"/>
                <w:sz w:val="20"/>
              </w:rPr>
              <w:t>de </w:t>
            </w:r>
            <w:r>
              <w:rPr>
                <w:sz w:val="20"/>
              </w:rPr>
              <w:t>Certificado Digital</w:t>
              <w:tab/>
            </w:r>
            <w:r>
              <w:rPr>
                <w:spacing w:val="-4"/>
                <w:sz w:val="20"/>
              </w:rPr>
              <w:t>e-cpf </w:t>
            </w:r>
            <w:r>
              <w:rPr>
                <w:spacing w:val="-3"/>
                <w:sz w:val="20"/>
              </w:rPr>
              <w:t>A3</w:t>
            </w:r>
          </w:p>
        </w:tc>
        <w:tc>
          <w:tcPr>
            <w:tcW w:w="1135" w:type="dxa"/>
          </w:tcPr>
          <w:p>
            <w:pPr>
              <w:pStyle w:val="TableParagraph"/>
              <w:rPr>
                <w:sz w:val="22"/>
              </w:rPr>
            </w:pPr>
          </w:p>
          <w:p>
            <w:pPr>
              <w:pStyle w:val="TableParagraph"/>
              <w:spacing w:before="5"/>
              <w:rPr>
                <w:sz w:val="27"/>
              </w:rPr>
            </w:pPr>
          </w:p>
          <w:p>
            <w:pPr>
              <w:pStyle w:val="TableParagraph"/>
              <w:ind w:left="74" w:right="47"/>
              <w:rPr>
                <w:sz w:val="20"/>
              </w:rPr>
            </w:pPr>
            <w:r>
              <w:rPr>
                <w:spacing w:val="-4"/>
                <w:sz w:val="20"/>
              </w:rPr>
              <w:t>Secretaria </w:t>
            </w:r>
            <w:r>
              <w:rPr>
                <w:spacing w:val="-9"/>
                <w:sz w:val="20"/>
              </w:rPr>
              <w:t>da </w:t>
            </w:r>
            <w:r>
              <w:rPr>
                <w:spacing w:val="-6"/>
                <w:sz w:val="20"/>
              </w:rPr>
              <w:t>Corregedoria</w:t>
            </w:r>
          </w:p>
        </w:tc>
        <w:tc>
          <w:tcPr>
            <w:tcW w:w="2124" w:type="dxa"/>
          </w:tcPr>
          <w:p>
            <w:pPr>
              <w:pStyle w:val="TableParagraph"/>
              <w:rPr>
                <w:sz w:val="22"/>
              </w:rPr>
            </w:pPr>
          </w:p>
          <w:p>
            <w:pPr>
              <w:pStyle w:val="TableParagraph"/>
              <w:rPr>
                <w:sz w:val="22"/>
              </w:rPr>
            </w:pPr>
          </w:p>
          <w:p>
            <w:pPr>
              <w:pStyle w:val="TableParagraph"/>
              <w:spacing w:before="178"/>
              <w:ind w:left="74"/>
              <w:rPr>
                <w:sz w:val="20"/>
              </w:rPr>
            </w:pPr>
            <w:r>
              <w:rPr>
                <w:sz w:val="20"/>
              </w:rPr>
              <w:t>Uso do e-CNJ</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178"/>
              <w:ind w:left="237" w:right="219"/>
              <w:jc w:val="center"/>
              <w:rPr>
                <w:sz w:val="20"/>
              </w:rPr>
            </w:pPr>
            <w:r>
              <w:rPr>
                <w:sz w:val="20"/>
              </w:rPr>
              <w:t>6/3/2014</w:t>
            </w:r>
          </w:p>
        </w:tc>
        <w:tc>
          <w:tcPr>
            <w:tcW w:w="1275" w:type="dxa"/>
          </w:tcPr>
          <w:p>
            <w:pPr>
              <w:pStyle w:val="TableParagraph"/>
              <w:rPr>
                <w:sz w:val="22"/>
              </w:rPr>
            </w:pPr>
          </w:p>
          <w:p>
            <w:pPr>
              <w:pStyle w:val="TableParagraph"/>
              <w:rPr>
                <w:sz w:val="22"/>
              </w:rPr>
            </w:pPr>
          </w:p>
          <w:p>
            <w:pPr>
              <w:pStyle w:val="TableParagraph"/>
              <w:spacing w:before="178"/>
              <w:ind w:right="152"/>
              <w:jc w:val="right"/>
              <w:rPr>
                <w:sz w:val="20"/>
              </w:rPr>
            </w:pPr>
            <w:r>
              <w:rPr>
                <w:sz w:val="20"/>
              </w:rPr>
              <w:t>Permanente</w:t>
            </w:r>
          </w:p>
        </w:tc>
        <w:tc>
          <w:tcPr>
            <w:tcW w:w="994" w:type="dxa"/>
          </w:tcPr>
          <w:p>
            <w:pPr>
              <w:pStyle w:val="TableParagraph"/>
              <w:rPr>
                <w:sz w:val="22"/>
              </w:rPr>
            </w:pPr>
          </w:p>
          <w:p>
            <w:pPr>
              <w:pStyle w:val="TableParagraph"/>
              <w:spacing w:before="5"/>
              <w:rPr>
                <w:sz w:val="17"/>
              </w:rPr>
            </w:pPr>
          </w:p>
          <w:p>
            <w:pPr>
              <w:pStyle w:val="TableParagraph"/>
              <w:ind w:left="54" w:right="38"/>
              <w:jc w:val="center"/>
              <w:rPr>
                <w:sz w:val="20"/>
              </w:rPr>
            </w:pPr>
            <w:r>
              <w:rPr>
                <w:sz w:val="20"/>
              </w:rPr>
              <w:t>02.122.05</w:t>
            </w:r>
          </w:p>
          <w:p>
            <w:pPr>
              <w:pStyle w:val="TableParagraph"/>
              <w:spacing w:before="1"/>
              <w:ind w:left="54" w:right="38"/>
              <w:jc w:val="center"/>
              <w:rPr>
                <w:sz w:val="20"/>
              </w:rPr>
            </w:pPr>
            <w:r>
              <w:rPr>
                <w:sz w:val="20"/>
              </w:rPr>
              <w:t>70.20GP.</w:t>
            </w:r>
          </w:p>
          <w:p>
            <w:pPr>
              <w:pStyle w:val="TableParagraph"/>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8"/>
              <w:ind w:right="53"/>
              <w:jc w:val="right"/>
              <w:rPr>
                <w:sz w:val="20"/>
              </w:rPr>
            </w:pPr>
            <w:r>
              <w:rPr>
                <w:w w:val="95"/>
                <w:sz w:val="20"/>
              </w:rPr>
              <w:t>200,00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5"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ind w:left="73" w:right="41"/>
              <w:rPr>
                <w:sz w:val="20"/>
              </w:rPr>
            </w:pPr>
            <w:r>
              <w:rPr>
                <w:w w:val="95"/>
                <w:sz w:val="20"/>
              </w:rPr>
              <w:t>SEDESC/ COSCOR</w:t>
            </w:r>
          </w:p>
          <w:p>
            <w:pPr>
              <w:pStyle w:val="TableParagraph"/>
              <w:spacing w:before="1"/>
              <w:ind w:left="73"/>
              <w:rPr>
                <w:sz w:val="20"/>
              </w:rPr>
            </w:pPr>
            <w:r>
              <w:rPr>
                <w:sz w:val="20"/>
              </w:rPr>
              <w:t>/STI</w:t>
            </w:r>
          </w:p>
        </w:tc>
        <w:tc>
          <w:tcPr>
            <w:tcW w:w="1404" w:type="dxa"/>
          </w:tcPr>
          <w:p>
            <w:pPr>
              <w:pStyle w:val="TableParagraph"/>
              <w:rPr>
                <w:sz w:val="18"/>
              </w:rPr>
            </w:pPr>
          </w:p>
        </w:tc>
      </w:tr>
    </w:tbl>
    <w:p>
      <w:pPr>
        <w:spacing w:after="0"/>
        <w:rPr>
          <w:sz w:val="18"/>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391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6"/>
              <w:rPr>
                <w:sz w:val="27"/>
              </w:rPr>
            </w:pPr>
          </w:p>
          <w:p>
            <w:pPr>
              <w:pStyle w:val="TableParagraph"/>
              <w:ind w:left="13"/>
              <w:jc w:val="center"/>
              <w:rPr>
                <w:sz w:val="20"/>
              </w:rPr>
            </w:pPr>
            <w:r>
              <w:rPr>
                <w:w w:val="99"/>
                <w:sz w:val="20"/>
              </w:rPr>
              <w:t>6</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tabs>
                <w:tab w:pos="685" w:val="left" w:leader="none"/>
              </w:tabs>
              <w:spacing w:before="1"/>
              <w:ind w:left="74" w:right="56"/>
              <w:rPr>
                <w:sz w:val="20"/>
              </w:rPr>
            </w:pPr>
            <w:r>
              <w:rPr>
                <w:sz w:val="20"/>
              </w:rPr>
              <w:t>ARP</w:t>
              <w:tab/>
            </w:r>
            <w:r>
              <w:rPr>
                <w:spacing w:val="-3"/>
                <w:sz w:val="20"/>
              </w:rPr>
              <w:t>Firewall </w:t>
            </w:r>
            <w:r>
              <w:rPr>
                <w:sz w:val="20"/>
              </w:rPr>
              <w:t>Dedicado</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9"/>
              </w:rPr>
            </w:pPr>
          </w:p>
          <w:p>
            <w:pPr>
              <w:pStyle w:val="TableParagraph"/>
              <w:ind w:left="74" w:right="29"/>
              <w:rPr>
                <w:sz w:val="20"/>
              </w:rPr>
            </w:pPr>
            <w:r>
              <w:rPr>
                <w:sz w:val="20"/>
              </w:rPr>
              <w:t>SERTEL/ </w:t>
            </w:r>
            <w:r>
              <w:rPr>
                <w:w w:val="95"/>
                <w:sz w:val="20"/>
              </w:rPr>
              <w:t>COINFRA/ </w:t>
            </w:r>
            <w:r>
              <w:rPr>
                <w:sz w:val="20"/>
              </w:rPr>
              <w:t>STI</w:t>
            </w:r>
          </w:p>
        </w:tc>
        <w:tc>
          <w:tcPr>
            <w:tcW w:w="2124" w:type="dxa"/>
          </w:tcPr>
          <w:p>
            <w:pPr>
              <w:pStyle w:val="TableParagraph"/>
              <w:tabs>
                <w:tab w:pos="916" w:val="left" w:leader="none"/>
                <w:tab w:pos="1868" w:val="left" w:leader="none"/>
              </w:tabs>
              <w:ind w:left="74" w:right="52"/>
              <w:jc w:val="both"/>
              <w:rPr>
                <w:sz w:val="20"/>
              </w:rPr>
            </w:pPr>
            <w:r>
              <w:rPr>
                <w:sz w:val="20"/>
              </w:rPr>
              <w:t>Complementação </w:t>
            </w:r>
            <w:r>
              <w:rPr>
                <w:spacing w:val="-7"/>
                <w:sz w:val="20"/>
              </w:rPr>
              <w:t>da </w:t>
            </w:r>
            <w:r>
              <w:rPr>
                <w:sz w:val="20"/>
              </w:rPr>
              <w:t>aquisição de 2013 </w:t>
            </w:r>
            <w:r>
              <w:rPr>
                <w:spacing w:val="-4"/>
                <w:sz w:val="20"/>
              </w:rPr>
              <w:t>para </w:t>
            </w:r>
            <w:r>
              <w:rPr>
                <w:sz w:val="20"/>
              </w:rPr>
              <w:t>implantação de  </w:t>
            </w:r>
            <w:r>
              <w:rPr>
                <w:spacing w:val="-5"/>
                <w:sz w:val="20"/>
              </w:rPr>
              <w:t>VPN </w:t>
            </w:r>
            <w:r>
              <w:rPr>
                <w:sz w:val="20"/>
              </w:rPr>
              <w:t>nos</w:t>
              <w:tab/>
              <w:t>links</w:t>
              <w:tab/>
            </w:r>
            <w:r>
              <w:rPr>
                <w:spacing w:val="-8"/>
                <w:sz w:val="20"/>
              </w:rPr>
              <w:t>de </w:t>
            </w:r>
            <w:r>
              <w:rPr>
                <w:sz w:val="20"/>
              </w:rPr>
              <w:t>comunicação de acesso remoto do TRE-BA e </w:t>
            </w:r>
            <w:r>
              <w:rPr>
                <w:spacing w:val="-7"/>
                <w:sz w:val="20"/>
              </w:rPr>
              <w:t>no </w:t>
            </w:r>
            <w:r>
              <w:rPr>
                <w:sz w:val="20"/>
              </w:rPr>
              <w:t>estabelecimento </w:t>
            </w:r>
            <w:r>
              <w:rPr>
                <w:spacing w:val="-6"/>
                <w:sz w:val="20"/>
              </w:rPr>
              <w:t>de </w:t>
            </w:r>
            <w:r>
              <w:rPr>
                <w:sz w:val="20"/>
              </w:rPr>
              <w:t>conexão com outros tribunais eleitorais via Internet, visando </w:t>
            </w:r>
            <w:r>
              <w:rPr>
                <w:spacing w:val="-11"/>
                <w:sz w:val="20"/>
              </w:rPr>
              <w:t>a </w:t>
            </w:r>
            <w:r>
              <w:rPr>
                <w:sz w:val="20"/>
              </w:rPr>
              <w:t>substituir o </w:t>
            </w:r>
            <w:r>
              <w:rPr>
                <w:spacing w:val="-3"/>
                <w:sz w:val="20"/>
              </w:rPr>
              <w:t>atual </w:t>
            </w:r>
            <w:r>
              <w:rPr>
                <w:sz w:val="20"/>
              </w:rPr>
              <w:t>contrato do </w:t>
            </w:r>
            <w:r>
              <w:rPr>
                <w:spacing w:val="-3"/>
                <w:sz w:val="20"/>
              </w:rPr>
              <w:t>Backbone </w:t>
            </w:r>
            <w:r>
              <w:rPr>
                <w:sz w:val="20"/>
              </w:rPr>
              <w:t>Secundário e </w:t>
            </w:r>
            <w:r>
              <w:rPr>
                <w:spacing w:val="-3"/>
                <w:sz w:val="20"/>
              </w:rPr>
              <w:t>prover </w:t>
            </w:r>
            <w:r>
              <w:rPr>
                <w:sz w:val="20"/>
              </w:rPr>
              <w:t>redundância</w:t>
              <w:tab/>
            </w:r>
            <w:r>
              <w:rPr>
                <w:spacing w:val="-7"/>
                <w:sz w:val="20"/>
              </w:rPr>
              <w:t>ao </w:t>
            </w:r>
            <w:r>
              <w:rPr>
                <w:sz w:val="20"/>
              </w:rPr>
              <w:t>Backbone Principal (que interliga toda a</w:t>
            </w:r>
            <w:r>
              <w:rPr>
                <w:spacing w:val="31"/>
                <w:sz w:val="20"/>
              </w:rPr>
              <w:t> </w:t>
            </w:r>
            <w:r>
              <w:rPr>
                <w:sz w:val="20"/>
              </w:rPr>
              <w:t>Justiça</w:t>
            </w:r>
          </w:p>
          <w:p>
            <w:pPr>
              <w:pStyle w:val="TableParagraph"/>
              <w:spacing w:line="217" w:lineRule="exact"/>
              <w:ind w:left="74"/>
              <w:rPr>
                <w:sz w:val="20"/>
              </w:rPr>
            </w:pPr>
            <w:r>
              <w:rPr>
                <w:sz w:val="20"/>
              </w:rPr>
              <w:t>Eleitoral).</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6"/>
              <w:rPr>
                <w:sz w:val="27"/>
              </w:rPr>
            </w:pPr>
          </w:p>
          <w:p>
            <w:pPr>
              <w:pStyle w:val="TableParagraph"/>
              <w:ind w:right="287"/>
              <w:jc w:val="right"/>
              <w:rPr>
                <w:sz w:val="20"/>
              </w:rPr>
            </w:pPr>
            <w:r>
              <w:rPr>
                <w:w w:val="95"/>
                <w:sz w:val="20"/>
              </w:rPr>
              <w:t>16/7/2014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6"/>
              <w:rPr>
                <w:sz w:val="27"/>
              </w:rPr>
            </w:pPr>
          </w:p>
          <w:p>
            <w:pPr>
              <w:pStyle w:val="TableParagraph"/>
              <w:ind w:left="148" w:right="132"/>
              <w:jc w:val="center"/>
              <w:rPr>
                <w:sz w:val="20"/>
              </w:rPr>
            </w:pPr>
            <w:r>
              <w:rPr>
                <w:sz w:val="20"/>
              </w:rPr>
              <w:t>Permanente</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9"/>
              </w:rPr>
            </w:pPr>
          </w:p>
          <w:p>
            <w:pPr>
              <w:pStyle w:val="TableParagraph"/>
              <w:ind w:left="54" w:right="38"/>
              <w:jc w:val="center"/>
              <w:rPr>
                <w:sz w:val="20"/>
              </w:rPr>
            </w:pPr>
            <w:r>
              <w:rPr>
                <w:sz w:val="20"/>
              </w:rPr>
              <w:t>02.122.05</w:t>
            </w:r>
          </w:p>
          <w:p>
            <w:pPr>
              <w:pStyle w:val="TableParagraph"/>
              <w:spacing w:line="229" w:lineRule="exact" w:before="1"/>
              <w:ind w:left="54" w:right="37"/>
              <w:jc w:val="center"/>
              <w:rPr>
                <w:sz w:val="20"/>
              </w:rPr>
            </w:pPr>
            <w:r>
              <w:rPr>
                <w:sz w:val="20"/>
              </w:rPr>
              <w:t>70.20GP.</w:t>
            </w:r>
          </w:p>
          <w:p>
            <w:pPr>
              <w:pStyle w:val="TableParagraph"/>
              <w:spacing w:line="229" w:lineRule="exact"/>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6"/>
              <w:rPr>
                <w:sz w:val="27"/>
              </w:rPr>
            </w:pPr>
          </w:p>
          <w:p>
            <w:pPr>
              <w:pStyle w:val="TableParagraph"/>
              <w:ind w:right="54"/>
              <w:jc w:val="right"/>
              <w:rPr>
                <w:sz w:val="20"/>
              </w:rPr>
            </w:pPr>
            <w:r>
              <w:rPr>
                <w:w w:val="95"/>
                <w:sz w:val="20"/>
              </w:rPr>
              <w:t>136.400,00</w:t>
            </w:r>
          </w:p>
        </w:tc>
        <w:tc>
          <w:tcPr>
            <w:tcW w:w="1560"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tabs>
                <w:tab w:pos="1327" w:val="left" w:leader="none"/>
                <w:tab w:pos="1402" w:val="left" w:leader="none"/>
              </w:tabs>
              <w:spacing w:before="131"/>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9"/>
              </w:rPr>
            </w:pPr>
          </w:p>
          <w:p>
            <w:pPr>
              <w:pStyle w:val="TableParagraph"/>
              <w:ind w:left="73" w:right="11"/>
              <w:rPr>
                <w:sz w:val="20"/>
              </w:rPr>
            </w:pPr>
            <w:r>
              <w:rPr>
                <w:sz w:val="20"/>
              </w:rPr>
              <w:t>SERTEL/ COINFRA</w:t>
            </w:r>
          </w:p>
          <w:p>
            <w:pPr>
              <w:pStyle w:val="TableParagraph"/>
              <w:spacing w:line="228" w:lineRule="exact"/>
              <w:ind w:left="73"/>
              <w:rPr>
                <w:sz w:val="20"/>
              </w:rPr>
            </w:pPr>
            <w:r>
              <w:rPr>
                <w:sz w:val="20"/>
              </w:rPr>
              <w:t>/STI</w:t>
            </w:r>
          </w:p>
        </w:tc>
        <w:tc>
          <w:tcPr>
            <w:tcW w:w="1404" w:type="dxa"/>
          </w:tcPr>
          <w:p>
            <w:pPr>
              <w:pStyle w:val="TableParagraph"/>
              <w:rPr>
                <w:sz w:val="18"/>
              </w:rPr>
            </w:pPr>
          </w:p>
        </w:tc>
      </w:tr>
      <w:tr>
        <w:trPr>
          <w:trHeight w:val="2071"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spacing w:before="155"/>
              <w:ind w:left="13"/>
              <w:jc w:val="center"/>
              <w:rPr>
                <w:sz w:val="20"/>
              </w:rPr>
            </w:pPr>
            <w:r>
              <w:rPr>
                <w:w w:val="99"/>
                <w:sz w:val="20"/>
              </w:rPr>
              <w:t>7</w:t>
            </w:r>
          </w:p>
        </w:tc>
        <w:tc>
          <w:tcPr>
            <w:tcW w:w="1419" w:type="dxa"/>
          </w:tcPr>
          <w:p>
            <w:pPr>
              <w:pStyle w:val="TableParagraph"/>
              <w:rPr>
                <w:sz w:val="22"/>
              </w:rPr>
            </w:pPr>
          </w:p>
          <w:p>
            <w:pPr>
              <w:pStyle w:val="TableParagraph"/>
              <w:rPr>
                <w:sz w:val="22"/>
              </w:rPr>
            </w:pPr>
          </w:p>
          <w:p>
            <w:pPr>
              <w:pStyle w:val="TableParagraph"/>
              <w:spacing w:before="178"/>
              <w:ind w:left="74" w:right="60"/>
              <w:rPr>
                <w:sz w:val="20"/>
              </w:rPr>
            </w:pPr>
            <w:r>
              <w:rPr>
                <w:w w:val="95"/>
                <w:sz w:val="20"/>
              </w:rPr>
              <w:t>Manutenção </w:t>
            </w:r>
            <w:r>
              <w:rPr>
                <w:sz w:val="20"/>
              </w:rPr>
              <w:t>Software VOLARE</w:t>
            </w:r>
          </w:p>
        </w:tc>
        <w:tc>
          <w:tcPr>
            <w:tcW w:w="1135" w:type="dxa"/>
          </w:tcPr>
          <w:p>
            <w:pPr>
              <w:pStyle w:val="TableParagraph"/>
              <w:rPr>
                <w:sz w:val="22"/>
              </w:rPr>
            </w:pPr>
          </w:p>
          <w:p>
            <w:pPr>
              <w:pStyle w:val="TableParagraph"/>
              <w:rPr>
                <w:sz w:val="22"/>
              </w:rPr>
            </w:pPr>
          </w:p>
          <w:p>
            <w:pPr>
              <w:pStyle w:val="TableParagraph"/>
              <w:spacing w:before="6"/>
              <w:rPr>
                <w:sz w:val="25"/>
              </w:rPr>
            </w:pPr>
          </w:p>
          <w:p>
            <w:pPr>
              <w:pStyle w:val="TableParagraph"/>
              <w:ind w:left="74" w:right="29"/>
              <w:rPr>
                <w:sz w:val="20"/>
              </w:rPr>
            </w:pPr>
            <w:r>
              <w:rPr>
                <w:w w:val="95"/>
                <w:sz w:val="20"/>
              </w:rPr>
              <w:t>COMANP- </w:t>
            </w:r>
            <w:r>
              <w:rPr>
                <w:sz w:val="20"/>
              </w:rPr>
              <w:t>SGS</w:t>
            </w:r>
          </w:p>
        </w:tc>
        <w:tc>
          <w:tcPr>
            <w:tcW w:w="2124" w:type="dxa"/>
          </w:tcPr>
          <w:p>
            <w:pPr>
              <w:pStyle w:val="TableParagraph"/>
              <w:ind w:left="74" w:right="52"/>
              <w:jc w:val="both"/>
              <w:rPr>
                <w:sz w:val="20"/>
              </w:rPr>
            </w:pPr>
            <w:r>
              <w:rPr>
                <w:sz w:val="20"/>
              </w:rPr>
              <w:t>Permitir atualização </w:t>
            </w:r>
            <w:r>
              <w:rPr>
                <w:spacing w:val="-7"/>
                <w:sz w:val="20"/>
              </w:rPr>
              <w:t>de </w:t>
            </w:r>
            <w:r>
              <w:rPr>
                <w:sz w:val="20"/>
              </w:rPr>
              <w:t>versão dos módulos de Orçamento de Obras,  de Manutenção e Reformas         e        </w:t>
            </w:r>
            <w:r>
              <w:rPr>
                <w:spacing w:val="24"/>
                <w:sz w:val="20"/>
              </w:rPr>
              <w:t> </w:t>
            </w:r>
            <w:r>
              <w:rPr>
                <w:spacing w:val="-6"/>
                <w:sz w:val="20"/>
              </w:rPr>
              <w:t>de</w:t>
            </w:r>
          </w:p>
          <w:p>
            <w:pPr>
              <w:pStyle w:val="TableParagraph"/>
              <w:tabs>
                <w:tab w:pos="1904" w:val="left" w:leader="none"/>
              </w:tabs>
              <w:spacing w:line="230" w:lineRule="exact"/>
              <w:ind w:left="74"/>
              <w:jc w:val="both"/>
              <w:rPr>
                <w:sz w:val="20"/>
              </w:rPr>
            </w:pPr>
            <w:r>
              <w:rPr>
                <w:sz w:val="20"/>
              </w:rPr>
              <w:t>Licitações</w:t>
              <w:tab/>
              <w:t>&amp;</w:t>
            </w:r>
          </w:p>
          <w:p>
            <w:pPr>
              <w:pStyle w:val="TableParagraph"/>
              <w:ind w:left="74" w:right="54"/>
              <w:jc w:val="both"/>
              <w:rPr>
                <w:sz w:val="20"/>
              </w:rPr>
            </w:pPr>
            <w:r>
              <w:rPr>
                <w:sz w:val="20"/>
              </w:rPr>
              <w:t>Concorrências, usados </w:t>
            </w:r>
            <w:r>
              <w:rPr>
                <w:spacing w:val="-12"/>
                <w:sz w:val="20"/>
              </w:rPr>
              <w:t>a </w:t>
            </w:r>
            <w:r>
              <w:rPr>
                <w:sz w:val="20"/>
              </w:rPr>
              <w:t>fim  de  atender  ao</w:t>
            </w:r>
            <w:r>
              <w:rPr>
                <w:spacing w:val="31"/>
                <w:sz w:val="20"/>
              </w:rPr>
              <w:t> </w:t>
            </w:r>
            <w:r>
              <w:rPr>
                <w:spacing w:val="-5"/>
                <w:sz w:val="20"/>
              </w:rPr>
              <w:t>CNJ</w:t>
            </w:r>
          </w:p>
          <w:p>
            <w:pPr>
              <w:pStyle w:val="TableParagraph"/>
              <w:spacing w:line="217" w:lineRule="exact"/>
              <w:ind w:left="74"/>
              <w:jc w:val="both"/>
              <w:rPr>
                <w:sz w:val="20"/>
              </w:rPr>
            </w:pPr>
            <w:r>
              <w:rPr>
                <w:sz w:val="20"/>
              </w:rPr>
              <w:t>Resolução 114, art. 9º .</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spacing w:before="155"/>
              <w:ind w:right="287"/>
              <w:jc w:val="right"/>
              <w:rPr>
                <w:sz w:val="20"/>
              </w:rPr>
            </w:pPr>
            <w:r>
              <w:rPr>
                <w:w w:val="95"/>
                <w:sz w:val="20"/>
              </w:rPr>
              <w:t>10/3/2014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spacing w:before="155"/>
              <w:ind w:left="148" w:right="131"/>
              <w:jc w:val="center"/>
              <w:rPr>
                <w:sz w:val="20"/>
              </w:rPr>
            </w:pPr>
            <w:r>
              <w:rPr>
                <w:sz w:val="20"/>
              </w:rPr>
              <w:t>Serviços</w:t>
            </w:r>
          </w:p>
        </w:tc>
        <w:tc>
          <w:tcPr>
            <w:tcW w:w="994" w:type="dxa"/>
          </w:tcPr>
          <w:p>
            <w:pPr>
              <w:pStyle w:val="TableParagraph"/>
              <w:rPr>
                <w:sz w:val="22"/>
              </w:rPr>
            </w:pPr>
          </w:p>
          <w:p>
            <w:pPr>
              <w:pStyle w:val="TableParagraph"/>
              <w:rPr>
                <w:sz w:val="22"/>
              </w:rPr>
            </w:pPr>
          </w:p>
          <w:p>
            <w:pPr>
              <w:pStyle w:val="TableParagraph"/>
              <w:spacing w:before="178"/>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spacing w:line="229" w:lineRule="exact"/>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spacing w:before="155"/>
              <w:ind w:right="54"/>
              <w:jc w:val="right"/>
              <w:rPr>
                <w:sz w:val="20"/>
              </w:rPr>
            </w:pPr>
            <w:r>
              <w:rPr>
                <w:w w:val="95"/>
                <w:sz w:val="20"/>
              </w:rPr>
              <w:t>6.000,00</w:t>
            </w:r>
          </w:p>
        </w:tc>
        <w:tc>
          <w:tcPr>
            <w:tcW w:w="1560" w:type="dxa"/>
          </w:tcPr>
          <w:p>
            <w:pPr>
              <w:pStyle w:val="TableParagraph"/>
              <w:spacing w:before="5"/>
              <w:rPr>
                <w:sz w:val="19"/>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spacing w:before="178"/>
              <w:ind w:left="73" w:right="41"/>
              <w:rPr>
                <w:sz w:val="20"/>
              </w:rPr>
            </w:pPr>
            <w:r>
              <w:rPr>
                <w:w w:val="95"/>
                <w:sz w:val="20"/>
              </w:rPr>
              <w:t>SEDESC/ COSCOR</w:t>
            </w:r>
          </w:p>
          <w:p>
            <w:pPr>
              <w:pStyle w:val="TableParagraph"/>
              <w:spacing w:line="228" w:lineRule="exact"/>
              <w:ind w:left="73"/>
              <w:rPr>
                <w:sz w:val="20"/>
              </w:rPr>
            </w:pPr>
            <w:r>
              <w:rPr>
                <w:sz w:val="20"/>
              </w:rPr>
              <w:t>/STI</w:t>
            </w:r>
          </w:p>
        </w:tc>
        <w:tc>
          <w:tcPr>
            <w:tcW w:w="1404" w:type="dxa"/>
          </w:tcPr>
          <w:p>
            <w:pPr>
              <w:pStyle w:val="TableParagraph"/>
              <w:rPr>
                <w:sz w:val="18"/>
              </w:rPr>
            </w:pPr>
          </w:p>
        </w:tc>
      </w:tr>
      <w:tr>
        <w:trPr>
          <w:trHeight w:val="1379" w:hRule="atLeast"/>
        </w:trPr>
        <w:tc>
          <w:tcPr>
            <w:tcW w:w="576" w:type="dxa"/>
            <w:tcBorders>
              <w:left w:val="single" w:sz="8" w:space="0" w:color="000000"/>
            </w:tcBorders>
          </w:tcPr>
          <w:p>
            <w:pPr>
              <w:pStyle w:val="TableParagraph"/>
              <w:rPr>
                <w:sz w:val="22"/>
              </w:rPr>
            </w:pPr>
          </w:p>
          <w:p>
            <w:pPr>
              <w:pStyle w:val="TableParagraph"/>
              <w:spacing w:before="3"/>
              <w:rPr>
                <w:sz w:val="27"/>
              </w:rPr>
            </w:pPr>
          </w:p>
          <w:p>
            <w:pPr>
              <w:pStyle w:val="TableParagraph"/>
              <w:ind w:left="13"/>
              <w:jc w:val="center"/>
              <w:rPr>
                <w:sz w:val="20"/>
              </w:rPr>
            </w:pPr>
            <w:r>
              <w:rPr>
                <w:w w:val="99"/>
                <w:sz w:val="20"/>
              </w:rPr>
              <w:t>8</w:t>
            </w:r>
          </w:p>
        </w:tc>
        <w:tc>
          <w:tcPr>
            <w:tcW w:w="1419" w:type="dxa"/>
          </w:tcPr>
          <w:p>
            <w:pPr>
              <w:pStyle w:val="TableParagraph"/>
              <w:spacing w:before="5"/>
              <w:rPr>
                <w:sz w:val="29"/>
              </w:rPr>
            </w:pPr>
          </w:p>
          <w:p>
            <w:pPr>
              <w:pStyle w:val="TableParagraph"/>
              <w:tabs>
                <w:tab w:pos="1016" w:val="left" w:leader="none"/>
              </w:tabs>
              <w:ind w:left="74" w:right="56"/>
              <w:rPr>
                <w:sz w:val="20"/>
              </w:rPr>
            </w:pPr>
            <w:r>
              <w:rPr>
                <w:sz w:val="20"/>
              </w:rPr>
              <w:t>Manutenção Software</w:t>
              <w:tab/>
            </w:r>
            <w:r>
              <w:rPr>
                <w:spacing w:val="-6"/>
                <w:sz w:val="20"/>
              </w:rPr>
              <w:t>PSS </w:t>
            </w:r>
            <w:r>
              <w:rPr>
                <w:sz w:val="20"/>
              </w:rPr>
              <w:t>KENTA</w:t>
            </w:r>
          </w:p>
        </w:tc>
        <w:tc>
          <w:tcPr>
            <w:tcW w:w="1135" w:type="dxa"/>
          </w:tcPr>
          <w:p>
            <w:pPr>
              <w:pStyle w:val="TableParagraph"/>
              <w:rPr>
                <w:sz w:val="22"/>
              </w:rPr>
            </w:pPr>
          </w:p>
          <w:p>
            <w:pPr>
              <w:pStyle w:val="TableParagraph"/>
              <w:spacing w:before="3"/>
              <w:rPr>
                <w:sz w:val="17"/>
              </w:rPr>
            </w:pPr>
          </w:p>
          <w:p>
            <w:pPr>
              <w:pStyle w:val="TableParagraph"/>
              <w:ind w:left="74" w:right="341"/>
              <w:rPr>
                <w:sz w:val="20"/>
              </w:rPr>
            </w:pPr>
            <w:r>
              <w:rPr>
                <w:sz w:val="20"/>
              </w:rPr>
              <w:t>COSES-</w:t>
            </w:r>
            <w:r>
              <w:rPr>
                <w:w w:val="99"/>
                <w:sz w:val="20"/>
              </w:rPr>
              <w:t> </w:t>
            </w:r>
            <w:r>
              <w:rPr>
                <w:sz w:val="20"/>
              </w:rPr>
              <w:t>SJU</w:t>
            </w:r>
          </w:p>
        </w:tc>
        <w:tc>
          <w:tcPr>
            <w:tcW w:w="2124" w:type="dxa"/>
          </w:tcPr>
          <w:p>
            <w:pPr>
              <w:pStyle w:val="TableParagraph"/>
              <w:spacing w:before="5"/>
              <w:rPr>
                <w:sz w:val="29"/>
              </w:rPr>
            </w:pPr>
          </w:p>
          <w:p>
            <w:pPr>
              <w:pStyle w:val="TableParagraph"/>
              <w:ind w:left="74" w:right="52"/>
              <w:jc w:val="both"/>
              <w:rPr>
                <w:sz w:val="20"/>
              </w:rPr>
            </w:pPr>
            <w:r>
              <w:rPr>
                <w:sz w:val="20"/>
              </w:rPr>
              <w:t>Necessário para a gravação dos áudios das sessões.</w:t>
            </w:r>
          </w:p>
        </w:tc>
        <w:tc>
          <w:tcPr>
            <w:tcW w:w="1135" w:type="dxa"/>
          </w:tcPr>
          <w:p>
            <w:pPr>
              <w:pStyle w:val="TableParagraph"/>
              <w:rPr>
                <w:sz w:val="18"/>
              </w:rPr>
            </w:pPr>
          </w:p>
        </w:tc>
        <w:tc>
          <w:tcPr>
            <w:tcW w:w="1419" w:type="dxa"/>
          </w:tcPr>
          <w:p>
            <w:pPr>
              <w:pStyle w:val="TableParagraph"/>
              <w:rPr>
                <w:sz w:val="22"/>
              </w:rPr>
            </w:pPr>
          </w:p>
          <w:p>
            <w:pPr>
              <w:pStyle w:val="TableParagraph"/>
              <w:spacing w:before="3"/>
              <w:rPr>
                <w:sz w:val="27"/>
              </w:rPr>
            </w:pPr>
          </w:p>
          <w:p>
            <w:pPr>
              <w:pStyle w:val="TableParagraph"/>
              <w:ind w:right="287"/>
              <w:jc w:val="right"/>
              <w:rPr>
                <w:sz w:val="20"/>
              </w:rPr>
            </w:pPr>
            <w:r>
              <w:rPr>
                <w:w w:val="95"/>
                <w:sz w:val="20"/>
              </w:rPr>
              <w:t>17/3/2014</w:t>
            </w:r>
          </w:p>
        </w:tc>
        <w:tc>
          <w:tcPr>
            <w:tcW w:w="1275" w:type="dxa"/>
          </w:tcPr>
          <w:p>
            <w:pPr>
              <w:pStyle w:val="TableParagraph"/>
              <w:rPr>
                <w:sz w:val="22"/>
              </w:rPr>
            </w:pPr>
          </w:p>
          <w:p>
            <w:pPr>
              <w:pStyle w:val="TableParagraph"/>
              <w:spacing w:before="3"/>
              <w:rPr>
                <w:sz w:val="27"/>
              </w:rPr>
            </w:pPr>
          </w:p>
          <w:p>
            <w:pPr>
              <w:pStyle w:val="TableParagraph"/>
              <w:ind w:left="148" w:right="131"/>
              <w:jc w:val="center"/>
              <w:rPr>
                <w:sz w:val="20"/>
              </w:rPr>
            </w:pPr>
            <w:r>
              <w:rPr>
                <w:sz w:val="20"/>
              </w:rPr>
              <w:t>Serviços</w:t>
            </w:r>
          </w:p>
        </w:tc>
        <w:tc>
          <w:tcPr>
            <w:tcW w:w="994" w:type="dxa"/>
          </w:tcPr>
          <w:p>
            <w:pPr>
              <w:pStyle w:val="TableParagraph"/>
              <w:spacing w:before="5"/>
              <w:rPr>
                <w:sz w:val="29"/>
              </w:rPr>
            </w:pPr>
          </w:p>
          <w:p>
            <w:pPr>
              <w:pStyle w:val="TableParagraph"/>
              <w:spacing w:line="229" w:lineRule="exact"/>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ind w:left="54" w:right="36"/>
              <w:jc w:val="center"/>
              <w:rPr>
                <w:sz w:val="20"/>
              </w:rPr>
            </w:pPr>
            <w:r>
              <w:rPr>
                <w:sz w:val="20"/>
              </w:rPr>
              <w:t>0029</w:t>
            </w:r>
          </w:p>
        </w:tc>
        <w:tc>
          <w:tcPr>
            <w:tcW w:w="1275" w:type="dxa"/>
          </w:tcPr>
          <w:p>
            <w:pPr>
              <w:pStyle w:val="TableParagraph"/>
              <w:rPr>
                <w:sz w:val="22"/>
              </w:rPr>
            </w:pPr>
          </w:p>
          <w:p>
            <w:pPr>
              <w:pStyle w:val="TableParagraph"/>
              <w:spacing w:before="3"/>
              <w:rPr>
                <w:sz w:val="27"/>
              </w:rPr>
            </w:pPr>
          </w:p>
          <w:p>
            <w:pPr>
              <w:pStyle w:val="TableParagraph"/>
              <w:ind w:right="54"/>
              <w:jc w:val="right"/>
              <w:rPr>
                <w:sz w:val="20"/>
              </w:rPr>
            </w:pPr>
            <w:r>
              <w:rPr>
                <w:w w:val="95"/>
                <w:sz w:val="20"/>
              </w:rPr>
              <w:t>20.000,00</w:t>
            </w:r>
          </w:p>
        </w:tc>
        <w:tc>
          <w:tcPr>
            <w:tcW w:w="1560" w:type="dxa"/>
          </w:tcPr>
          <w:p>
            <w:pPr>
              <w:pStyle w:val="TableParagraph"/>
              <w:tabs>
                <w:tab w:pos="1410" w:val="left" w:leader="none"/>
              </w:tabs>
              <w:spacing w:line="223" w:lineRule="exact"/>
              <w:ind w:left="73"/>
              <w:jc w:val="both"/>
              <w:rPr>
                <w:sz w:val="20"/>
              </w:rPr>
            </w:pPr>
            <w:r>
              <w:rPr>
                <w:spacing w:val="-6"/>
                <w:sz w:val="20"/>
              </w:rPr>
              <w:t>Garantir</w:t>
              <w:tab/>
            </w:r>
            <w:r>
              <w:rPr>
                <w:sz w:val="20"/>
              </w:rPr>
              <w:t>a</w:t>
            </w:r>
          </w:p>
          <w:p>
            <w:pPr>
              <w:pStyle w:val="TableParagraph"/>
              <w:ind w:left="73" w:right="47"/>
              <w:jc w:val="both"/>
              <w:rPr>
                <w:sz w:val="20"/>
              </w:rPr>
            </w:pPr>
            <w:r>
              <w:rPr>
                <w:spacing w:val="-6"/>
                <w:sz w:val="20"/>
              </w:rPr>
              <w:t>estrutura </w:t>
            </w:r>
            <w:r>
              <w:rPr>
                <w:spacing w:val="-3"/>
                <w:sz w:val="20"/>
              </w:rPr>
              <w:t>de </w:t>
            </w:r>
            <w:r>
              <w:rPr>
                <w:spacing w:val="-9"/>
                <w:sz w:val="20"/>
              </w:rPr>
              <w:t>TI </w:t>
            </w:r>
            <w:r>
              <w:rPr>
                <w:spacing w:val="-6"/>
                <w:sz w:val="20"/>
              </w:rPr>
              <w:t>apropriada </w:t>
            </w:r>
            <w:r>
              <w:rPr>
                <w:spacing w:val="-10"/>
                <w:sz w:val="20"/>
              </w:rPr>
              <w:t>às </w:t>
            </w:r>
            <w:r>
              <w:rPr>
                <w:spacing w:val="-6"/>
                <w:sz w:val="20"/>
              </w:rPr>
              <w:t>atividades </w:t>
            </w:r>
            <w:r>
              <w:rPr>
                <w:spacing w:val="-8"/>
                <w:sz w:val="20"/>
              </w:rPr>
              <w:t>judiciais </w:t>
            </w:r>
            <w:r>
              <w:rPr>
                <w:sz w:val="20"/>
              </w:rPr>
              <w:t>e   </w:t>
            </w:r>
            <w:r>
              <w:rPr>
                <w:spacing w:val="4"/>
                <w:sz w:val="20"/>
              </w:rPr>
              <w:t> </w:t>
            </w:r>
            <w:r>
              <w:rPr>
                <w:spacing w:val="-7"/>
                <w:sz w:val="20"/>
              </w:rPr>
              <w:t>administrativas</w:t>
            </w:r>
          </w:p>
          <w:p>
            <w:pPr>
              <w:pStyle w:val="TableParagraph"/>
              <w:spacing w:line="216" w:lineRule="exact"/>
              <w:ind w:left="73"/>
              <w:rPr>
                <w:sz w:val="20"/>
              </w:rPr>
            </w:pPr>
            <w:r>
              <w:rPr>
                <w:sz w:val="20"/>
              </w:rPr>
              <w:t>(PETI).</w:t>
            </w:r>
          </w:p>
        </w:tc>
        <w:tc>
          <w:tcPr>
            <w:tcW w:w="992" w:type="dxa"/>
          </w:tcPr>
          <w:p>
            <w:pPr>
              <w:pStyle w:val="TableParagraph"/>
              <w:spacing w:before="5"/>
              <w:rPr>
                <w:sz w:val="29"/>
              </w:rPr>
            </w:pPr>
          </w:p>
          <w:p>
            <w:pPr>
              <w:pStyle w:val="TableParagraph"/>
              <w:ind w:left="73" w:right="41"/>
              <w:rPr>
                <w:sz w:val="20"/>
              </w:rPr>
            </w:pPr>
            <w:r>
              <w:rPr>
                <w:w w:val="95"/>
                <w:sz w:val="20"/>
              </w:rPr>
              <w:t>SEDESC/ COSCOR</w:t>
            </w:r>
          </w:p>
          <w:p>
            <w:pPr>
              <w:pStyle w:val="TableParagraph"/>
              <w:spacing w:line="228" w:lineRule="exact"/>
              <w:ind w:left="73"/>
              <w:rPr>
                <w:sz w:val="20"/>
              </w:rPr>
            </w:pPr>
            <w:r>
              <w:rPr>
                <w:sz w:val="20"/>
              </w:rPr>
              <w:t>/STI</w:t>
            </w:r>
          </w:p>
        </w:tc>
        <w:tc>
          <w:tcPr>
            <w:tcW w:w="1404" w:type="dxa"/>
          </w:tcPr>
          <w:p>
            <w:pPr>
              <w:pStyle w:val="TableParagraph"/>
              <w:rPr>
                <w:sz w:val="18"/>
              </w:rPr>
            </w:pPr>
          </w:p>
        </w:tc>
      </w:tr>
    </w:tbl>
    <w:p>
      <w:pPr>
        <w:spacing w:after="0"/>
        <w:rPr>
          <w:sz w:val="18"/>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161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176"/>
              <w:ind w:left="237"/>
              <w:rPr>
                <w:sz w:val="20"/>
              </w:rPr>
            </w:pPr>
            <w:r>
              <w:rPr>
                <w:w w:val="99"/>
                <w:sz w:val="20"/>
              </w:rPr>
              <w:t>9</w:t>
            </w:r>
          </w:p>
        </w:tc>
        <w:tc>
          <w:tcPr>
            <w:tcW w:w="1419" w:type="dxa"/>
          </w:tcPr>
          <w:p>
            <w:pPr>
              <w:pStyle w:val="TableParagraph"/>
              <w:spacing w:before="5"/>
              <w:rPr>
                <w:sz w:val="29"/>
              </w:rPr>
            </w:pPr>
          </w:p>
          <w:p>
            <w:pPr>
              <w:pStyle w:val="TableParagraph"/>
              <w:tabs>
                <w:tab w:pos="1194" w:val="left" w:leader="none"/>
              </w:tabs>
              <w:ind w:left="74"/>
              <w:rPr>
                <w:sz w:val="20"/>
              </w:rPr>
            </w:pPr>
            <w:r>
              <w:rPr>
                <w:spacing w:val="-21"/>
                <w:sz w:val="20"/>
              </w:rPr>
              <w:t>Manutenção</w:t>
              <w:tab/>
            </w:r>
            <w:r>
              <w:rPr>
                <w:spacing w:val="-11"/>
                <w:sz w:val="20"/>
              </w:rPr>
              <w:t>do</w:t>
            </w:r>
          </w:p>
          <w:p>
            <w:pPr>
              <w:pStyle w:val="TableParagraph"/>
              <w:tabs>
                <w:tab w:pos="1204" w:val="left" w:leader="none"/>
              </w:tabs>
              <w:spacing w:line="229" w:lineRule="exact" w:before="1"/>
              <w:ind w:left="74"/>
              <w:rPr>
                <w:sz w:val="20"/>
              </w:rPr>
            </w:pPr>
            <w:r>
              <w:rPr>
                <w:spacing w:val="-20"/>
                <w:sz w:val="20"/>
              </w:rPr>
              <w:t>Sistema</w:t>
              <w:tab/>
            </w:r>
            <w:r>
              <w:rPr>
                <w:spacing w:val="-11"/>
                <w:sz w:val="20"/>
              </w:rPr>
              <w:t>de</w:t>
            </w:r>
          </w:p>
          <w:p>
            <w:pPr>
              <w:pStyle w:val="TableParagraph"/>
              <w:tabs>
                <w:tab w:pos="1151" w:val="left" w:leader="none"/>
              </w:tabs>
              <w:ind w:left="74" w:right="31"/>
              <w:rPr>
                <w:sz w:val="20"/>
              </w:rPr>
            </w:pPr>
            <w:r>
              <w:rPr>
                <w:spacing w:val="-21"/>
                <w:sz w:val="20"/>
              </w:rPr>
              <w:t>Digitalização</w:t>
              <w:tab/>
              <w:t>das </w:t>
            </w:r>
            <w:r>
              <w:rPr>
                <w:spacing w:val="-18"/>
                <w:sz w:val="20"/>
              </w:rPr>
              <w:t>PastasdosServidores</w:t>
            </w:r>
          </w:p>
        </w:tc>
        <w:tc>
          <w:tcPr>
            <w:tcW w:w="1135" w:type="dxa"/>
          </w:tcPr>
          <w:p>
            <w:pPr>
              <w:pStyle w:val="TableParagraph"/>
              <w:rPr>
                <w:sz w:val="22"/>
              </w:rPr>
            </w:pPr>
          </w:p>
          <w:p>
            <w:pPr>
              <w:pStyle w:val="TableParagraph"/>
              <w:spacing w:before="6"/>
              <w:rPr>
                <w:sz w:val="27"/>
              </w:rPr>
            </w:pPr>
          </w:p>
          <w:p>
            <w:pPr>
              <w:pStyle w:val="TableParagraph"/>
              <w:ind w:left="74" w:right="275"/>
              <w:rPr>
                <w:sz w:val="20"/>
              </w:rPr>
            </w:pPr>
            <w:r>
              <w:rPr>
                <w:sz w:val="20"/>
              </w:rPr>
              <w:t>COGED- SGA</w:t>
            </w:r>
          </w:p>
        </w:tc>
        <w:tc>
          <w:tcPr>
            <w:tcW w:w="2124" w:type="dxa"/>
          </w:tcPr>
          <w:p>
            <w:pPr>
              <w:pStyle w:val="TableParagraph"/>
              <w:spacing w:before="5"/>
              <w:rPr>
                <w:sz w:val="29"/>
              </w:rPr>
            </w:pPr>
          </w:p>
          <w:p>
            <w:pPr>
              <w:pStyle w:val="TableParagraph"/>
              <w:ind w:left="74" w:right="45"/>
              <w:jc w:val="both"/>
              <w:rPr>
                <w:sz w:val="20"/>
              </w:rPr>
            </w:pPr>
            <w:r>
              <w:rPr>
                <w:spacing w:val="-6"/>
                <w:sz w:val="20"/>
              </w:rPr>
              <w:t>Permitir </w:t>
            </w:r>
            <w:r>
              <w:rPr>
                <w:sz w:val="20"/>
              </w:rPr>
              <w:t>a </w:t>
            </w:r>
            <w:r>
              <w:rPr>
                <w:spacing w:val="-6"/>
                <w:sz w:val="20"/>
              </w:rPr>
              <w:t>continuidade </w:t>
            </w:r>
            <w:r>
              <w:rPr>
                <w:spacing w:val="-8"/>
                <w:sz w:val="20"/>
              </w:rPr>
              <w:t>do </w:t>
            </w:r>
            <w:r>
              <w:rPr>
                <w:spacing w:val="-6"/>
                <w:sz w:val="20"/>
              </w:rPr>
              <w:t>trabalho </w:t>
            </w:r>
            <w:r>
              <w:rPr>
                <w:spacing w:val="-3"/>
                <w:sz w:val="20"/>
              </w:rPr>
              <w:t>de </w:t>
            </w:r>
            <w:r>
              <w:rPr>
                <w:spacing w:val="-6"/>
                <w:sz w:val="20"/>
              </w:rPr>
              <w:t>digitalização </w:t>
            </w:r>
            <w:r>
              <w:rPr>
                <w:sz w:val="20"/>
              </w:rPr>
              <w:t>e </w:t>
            </w:r>
            <w:r>
              <w:rPr>
                <w:spacing w:val="-6"/>
                <w:sz w:val="20"/>
              </w:rPr>
              <w:t>indexação </w:t>
            </w:r>
            <w:r>
              <w:rPr>
                <w:spacing w:val="-4"/>
                <w:sz w:val="20"/>
              </w:rPr>
              <w:t>dos </w:t>
            </w:r>
            <w:r>
              <w:rPr>
                <w:spacing w:val="-7"/>
                <w:sz w:val="20"/>
              </w:rPr>
              <w:t>registros </w:t>
            </w:r>
            <w:r>
              <w:rPr>
                <w:spacing w:val="-6"/>
                <w:sz w:val="20"/>
              </w:rPr>
              <w:t>funcionais </w:t>
            </w:r>
            <w:r>
              <w:rPr>
                <w:spacing w:val="-4"/>
                <w:sz w:val="20"/>
              </w:rPr>
              <w:t>dos </w:t>
            </w:r>
            <w:r>
              <w:rPr>
                <w:spacing w:val="-6"/>
                <w:sz w:val="20"/>
              </w:rPr>
              <w:t>servidores.</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176"/>
              <w:ind w:right="287"/>
              <w:jc w:val="right"/>
              <w:rPr>
                <w:sz w:val="20"/>
              </w:rPr>
            </w:pPr>
            <w:r>
              <w:rPr>
                <w:w w:val="95"/>
                <w:sz w:val="20"/>
              </w:rPr>
              <w:t>10/3/2014</w:t>
            </w:r>
          </w:p>
        </w:tc>
        <w:tc>
          <w:tcPr>
            <w:tcW w:w="1275" w:type="dxa"/>
          </w:tcPr>
          <w:p>
            <w:pPr>
              <w:pStyle w:val="TableParagraph"/>
              <w:rPr>
                <w:sz w:val="22"/>
              </w:rPr>
            </w:pPr>
          </w:p>
          <w:p>
            <w:pPr>
              <w:pStyle w:val="TableParagraph"/>
              <w:rPr>
                <w:sz w:val="22"/>
              </w:rPr>
            </w:pPr>
          </w:p>
          <w:p>
            <w:pPr>
              <w:pStyle w:val="TableParagraph"/>
              <w:spacing w:before="176"/>
              <w:ind w:left="148" w:right="131"/>
              <w:jc w:val="center"/>
              <w:rPr>
                <w:sz w:val="20"/>
              </w:rPr>
            </w:pPr>
            <w:r>
              <w:rPr>
                <w:sz w:val="20"/>
              </w:rPr>
              <w:t>Serviços</w:t>
            </w:r>
          </w:p>
        </w:tc>
        <w:tc>
          <w:tcPr>
            <w:tcW w:w="994" w:type="dxa"/>
          </w:tcPr>
          <w:p>
            <w:pPr>
              <w:pStyle w:val="TableParagraph"/>
              <w:rPr>
                <w:sz w:val="22"/>
              </w:rPr>
            </w:pPr>
          </w:p>
          <w:p>
            <w:pPr>
              <w:pStyle w:val="TableParagraph"/>
              <w:spacing w:before="5"/>
              <w:rPr>
                <w:sz w:val="17"/>
              </w:rPr>
            </w:pPr>
          </w:p>
          <w:p>
            <w:pPr>
              <w:pStyle w:val="TableParagraph"/>
              <w:spacing w:line="229" w:lineRule="exact"/>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spacing w:before="1"/>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6"/>
              <w:ind w:right="54"/>
              <w:jc w:val="right"/>
              <w:rPr>
                <w:sz w:val="20"/>
              </w:rPr>
            </w:pPr>
            <w:r>
              <w:rPr>
                <w:w w:val="95"/>
                <w:sz w:val="20"/>
              </w:rPr>
              <w:t>38.400,00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7"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ind w:left="73" w:right="41"/>
              <w:rPr>
                <w:sz w:val="20"/>
              </w:rPr>
            </w:pPr>
            <w:r>
              <w:rPr>
                <w:w w:val="95"/>
                <w:sz w:val="20"/>
              </w:rPr>
              <w:t>SEDESC/ COSCOR</w:t>
            </w:r>
          </w:p>
          <w:p>
            <w:pPr>
              <w:pStyle w:val="TableParagraph"/>
              <w:spacing w:line="229" w:lineRule="exact"/>
              <w:ind w:left="73"/>
              <w:rPr>
                <w:sz w:val="20"/>
              </w:rPr>
            </w:pPr>
            <w:r>
              <w:rPr>
                <w:sz w:val="20"/>
              </w:rPr>
              <w:t>/STI</w:t>
            </w:r>
          </w:p>
        </w:tc>
        <w:tc>
          <w:tcPr>
            <w:tcW w:w="1404" w:type="dxa"/>
          </w:tcPr>
          <w:p>
            <w:pPr>
              <w:pStyle w:val="TableParagraph"/>
              <w:rPr>
                <w:sz w:val="18"/>
              </w:rPr>
            </w:pPr>
          </w:p>
        </w:tc>
      </w:tr>
      <w:tr>
        <w:trPr>
          <w:trHeight w:val="161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176"/>
              <w:ind w:left="186"/>
              <w:rPr>
                <w:sz w:val="20"/>
              </w:rPr>
            </w:pPr>
            <w:r>
              <w:rPr>
                <w:sz w:val="20"/>
              </w:rPr>
              <w:t>10</w:t>
            </w:r>
          </w:p>
        </w:tc>
        <w:tc>
          <w:tcPr>
            <w:tcW w:w="1419" w:type="dxa"/>
          </w:tcPr>
          <w:p>
            <w:pPr>
              <w:pStyle w:val="TableParagraph"/>
              <w:spacing w:before="5"/>
              <w:rPr>
                <w:sz w:val="29"/>
              </w:rPr>
            </w:pPr>
          </w:p>
          <w:p>
            <w:pPr>
              <w:pStyle w:val="TableParagraph"/>
              <w:tabs>
                <w:tab w:pos="937" w:val="left" w:leader="none"/>
                <w:tab w:pos="1163" w:val="left" w:leader="none"/>
              </w:tabs>
              <w:ind w:left="74" w:right="54"/>
              <w:rPr>
                <w:sz w:val="20"/>
              </w:rPr>
            </w:pPr>
            <w:r>
              <w:rPr>
                <w:sz w:val="20"/>
              </w:rPr>
              <w:t>Renovação</w:t>
              <w:tab/>
            </w:r>
            <w:r>
              <w:rPr>
                <w:spacing w:val="-9"/>
                <w:sz w:val="20"/>
              </w:rPr>
              <w:t>de </w:t>
            </w:r>
            <w:r>
              <w:rPr>
                <w:sz w:val="20"/>
              </w:rPr>
              <w:t>Certificado Digital</w:t>
              <w:tab/>
            </w:r>
            <w:r>
              <w:rPr>
                <w:spacing w:val="-4"/>
                <w:sz w:val="20"/>
              </w:rPr>
              <w:t>e-cpf </w:t>
            </w:r>
            <w:r>
              <w:rPr>
                <w:spacing w:val="-3"/>
                <w:sz w:val="20"/>
              </w:rPr>
              <w:t>A3</w:t>
            </w:r>
          </w:p>
        </w:tc>
        <w:tc>
          <w:tcPr>
            <w:tcW w:w="1135" w:type="dxa"/>
          </w:tcPr>
          <w:p>
            <w:pPr>
              <w:pStyle w:val="TableParagraph"/>
              <w:rPr>
                <w:sz w:val="22"/>
              </w:rPr>
            </w:pPr>
          </w:p>
          <w:p>
            <w:pPr>
              <w:pStyle w:val="TableParagraph"/>
              <w:spacing w:before="5"/>
              <w:rPr>
                <w:sz w:val="17"/>
              </w:rPr>
            </w:pPr>
          </w:p>
          <w:p>
            <w:pPr>
              <w:pStyle w:val="TableParagraph"/>
              <w:ind w:left="74" w:right="171"/>
              <w:rPr>
                <w:sz w:val="20"/>
              </w:rPr>
            </w:pPr>
            <w:r>
              <w:rPr>
                <w:sz w:val="20"/>
              </w:rPr>
              <w:t>SEPUBLI- COGED- SGA</w:t>
            </w:r>
          </w:p>
        </w:tc>
        <w:tc>
          <w:tcPr>
            <w:tcW w:w="2124" w:type="dxa"/>
          </w:tcPr>
          <w:p>
            <w:pPr>
              <w:pStyle w:val="TableParagraph"/>
              <w:rPr>
                <w:sz w:val="22"/>
              </w:rPr>
            </w:pPr>
          </w:p>
          <w:p>
            <w:pPr>
              <w:pStyle w:val="TableParagraph"/>
              <w:rPr>
                <w:sz w:val="22"/>
              </w:rPr>
            </w:pPr>
          </w:p>
          <w:p>
            <w:pPr>
              <w:pStyle w:val="TableParagraph"/>
              <w:spacing w:before="176"/>
              <w:ind w:left="74"/>
              <w:rPr>
                <w:sz w:val="20"/>
              </w:rPr>
            </w:pPr>
            <w:r>
              <w:rPr>
                <w:sz w:val="20"/>
              </w:rPr>
              <w:t>Uso do DJE</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176"/>
              <w:ind w:right="287"/>
              <w:jc w:val="right"/>
              <w:rPr>
                <w:sz w:val="20"/>
              </w:rPr>
            </w:pPr>
            <w:r>
              <w:rPr>
                <w:w w:val="95"/>
                <w:sz w:val="20"/>
              </w:rPr>
              <w:t>28/4/2014</w:t>
            </w:r>
          </w:p>
        </w:tc>
        <w:tc>
          <w:tcPr>
            <w:tcW w:w="1275" w:type="dxa"/>
          </w:tcPr>
          <w:p>
            <w:pPr>
              <w:pStyle w:val="TableParagraph"/>
              <w:rPr>
                <w:sz w:val="22"/>
              </w:rPr>
            </w:pPr>
          </w:p>
          <w:p>
            <w:pPr>
              <w:pStyle w:val="TableParagraph"/>
              <w:rPr>
                <w:sz w:val="22"/>
              </w:rPr>
            </w:pPr>
          </w:p>
          <w:p>
            <w:pPr>
              <w:pStyle w:val="TableParagraph"/>
              <w:spacing w:before="176"/>
              <w:ind w:left="148" w:right="132"/>
              <w:jc w:val="center"/>
              <w:rPr>
                <w:sz w:val="20"/>
              </w:rPr>
            </w:pPr>
            <w:r>
              <w:rPr>
                <w:sz w:val="20"/>
              </w:rPr>
              <w:t>Permanente</w:t>
            </w:r>
          </w:p>
        </w:tc>
        <w:tc>
          <w:tcPr>
            <w:tcW w:w="994" w:type="dxa"/>
          </w:tcPr>
          <w:p>
            <w:pPr>
              <w:pStyle w:val="TableParagraph"/>
              <w:rPr>
                <w:sz w:val="22"/>
              </w:rPr>
            </w:pPr>
          </w:p>
          <w:p>
            <w:pPr>
              <w:pStyle w:val="TableParagraph"/>
              <w:spacing w:before="5"/>
              <w:rPr>
                <w:sz w:val="17"/>
              </w:rPr>
            </w:pPr>
          </w:p>
          <w:p>
            <w:pPr>
              <w:pStyle w:val="TableParagraph"/>
              <w:spacing w:line="229" w:lineRule="exact"/>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spacing w:before="1"/>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6"/>
              <w:ind w:right="53"/>
              <w:jc w:val="right"/>
              <w:rPr>
                <w:sz w:val="20"/>
              </w:rPr>
            </w:pPr>
            <w:r>
              <w:rPr>
                <w:w w:val="95"/>
                <w:sz w:val="20"/>
              </w:rPr>
              <w:t>200,00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7"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ind w:left="73" w:right="41"/>
              <w:rPr>
                <w:sz w:val="20"/>
              </w:rPr>
            </w:pPr>
            <w:r>
              <w:rPr>
                <w:w w:val="95"/>
                <w:sz w:val="20"/>
              </w:rPr>
              <w:t>SEDESC/ COSCOR</w:t>
            </w:r>
          </w:p>
          <w:p>
            <w:pPr>
              <w:pStyle w:val="TableParagraph"/>
              <w:spacing w:line="228" w:lineRule="exact"/>
              <w:ind w:left="73"/>
              <w:rPr>
                <w:sz w:val="20"/>
              </w:rPr>
            </w:pPr>
            <w:r>
              <w:rPr>
                <w:sz w:val="20"/>
              </w:rPr>
              <w:t>/STI</w:t>
            </w:r>
          </w:p>
        </w:tc>
        <w:tc>
          <w:tcPr>
            <w:tcW w:w="1404" w:type="dxa"/>
          </w:tcPr>
          <w:p>
            <w:pPr>
              <w:pStyle w:val="TableParagraph"/>
              <w:rPr>
                <w:sz w:val="18"/>
              </w:rPr>
            </w:pPr>
          </w:p>
        </w:tc>
      </w:tr>
    </w:tbl>
    <w:p>
      <w:pPr>
        <w:spacing w:after="0"/>
        <w:rPr>
          <w:sz w:val="18"/>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7131"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54"/>
              <w:ind w:left="186"/>
              <w:rPr>
                <w:sz w:val="20"/>
              </w:rPr>
            </w:pPr>
            <w:r>
              <w:rPr>
                <w:sz w:val="20"/>
              </w:rPr>
              <w:t>11</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6"/>
              <w:rPr>
                <w:sz w:val="27"/>
              </w:rPr>
            </w:pPr>
          </w:p>
          <w:p>
            <w:pPr>
              <w:pStyle w:val="TableParagraph"/>
              <w:ind w:left="74" w:right="55"/>
              <w:jc w:val="both"/>
              <w:rPr>
                <w:sz w:val="20"/>
              </w:rPr>
            </w:pPr>
            <w:r>
              <w:rPr>
                <w:sz w:val="20"/>
              </w:rPr>
              <w:t>Projeto de implantação de sala segura para o Datacenter</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5"/>
              </w:rPr>
            </w:pPr>
          </w:p>
          <w:p>
            <w:pPr>
              <w:pStyle w:val="TableParagraph"/>
              <w:ind w:left="74" w:right="29"/>
              <w:rPr>
                <w:sz w:val="20"/>
              </w:rPr>
            </w:pPr>
            <w:r>
              <w:rPr>
                <w:w w:val="95"/>
                <w:sz w:val="20"/>
              </w:rPr>
              <w:t>COINFRA/ </w:t>
            </w:r>
            <w:r>
              <w:rPr>
                <w:sz w:val="20"/>
              </w:rPr>
              <w:t>STI</w:t>
            </w:r>
          </w:p>
        </w:tc>
        <w:tc>
          <w:tcPr>
            <w:tcW w:w="2124" w:type="dxa"/>
          </w:tcPr>
          <w:p>
            <w:pPr>
              <w:pStyle w:val="TableParagraph"/>
              <w:tabs>
                <w:tab w:pos="393" w:val="left" w:leader="none"/>
                <w:tab w:pos="909" w:val="left" w:leader="none"/>
                <w:tab w:pos="1074" w:val="left" w:leader="none"/>
                <w:tab w:pos="1115" w:val="left" w:leader="none"/>
                <w:tab w:pos="1353" w:val="left" w:leader="none"/>
                <w:tab w:pos="1384" w:val="left" w:leader="none"/>
                <w:tab w:pos="1420" w:val="left" w:leader="none"/>
                <w:tab w:pos="1456" w:val="left" w:leader="none"/>
                <w:tab w:pos="1643" w:val="left" w:leader="none"/>
                <w:tab w:pos="1876" w:val="left" w:leader="none"/>
                <w:tab w:pos="1974" w:val="left" w:leader="none"/>
              </w:tabs>
              <w:ind w:left="74" w:right="46"/>
              <w:rPr>
                <w:sz w:val="20"/>
              </w:rPr>
            </w:pPr>
            <w:r>
              <w:rPr>
                <w:sz w:val="20"/>
              </w:rPr>
              <w:t>A </w:t>
            </w:r>
            <w:r>
              <w:rPr>
                <w:spacing w:val="-4"/>
                <w:sz w:val="20"/>
              </w:rPr>
              <w:t>sala </w:t>
            </w:r>
            <w:r>
              <w:rPr>
                <w:spacing w:val="-3"/>
                <w:sz w:val="20"/>
              </w:rPr>
              <w:t>onde </w:t>
            </w:r>
            <w:r>
              <w:rPr>
                <w:sz w:val="20"/>
              </w:rPr>
              <w:t>se </w:t>
            </w:r>
            <w:r>
              <w:rPr>
                <w:spacing w:val="-4"/>
                <w:sz w:val="20"/>
              </w:rPr>
              <w:t>encontra </w:t>
            </w:r>
            <w:r>
              <w:rPr>
                <w:sz w:val="20"/>
              </w:rPr>
              <w:t>o </w:t>
            </w:r>
            <w:r>
              <w:rPr>
                <w:spacing w:val="-4"/>
                <w:sz w:val="20"/>
              </w:rPr>
              <w:t>Datacenter </w:t>
            </w:r>
            <w:r>
              <w:rPr>
                <w:sz w:val="20"/>
              </w:rPr>
              <w:t>do </w:t>
            </w:r>
            <w:r>
              <w:rPr>
                <w:spacing w:val="-3"/>
                <w:sz w:val="20"/>
              </w:rPr>
              <w:t>TRE-BA </w:t>
            </w:r>
            <w:r>
              <w:rPr>
                <w:spacing w:val="-4"/>
                <w:sz w:val="20"/>
              </w:rPr>
              <w:t>não possui </w:t>
            </w:r>
            <w:r>
              <w:rPr>
                <w:sz w:val="20"/>
              </w:rPr>
              <w:t>as </w:t>
            </w:r>
            <w:r>
              <w:rPr>
                <w:spacing w:val="-4"/>
                <w:sz w:val="20"/>
              </w:rPr>
              <w:t>condições mínimas para garantia </w:t>
            </w:r>
            <w:r>
              <w:rPr>
                <w:sz w:val="20"/>
              </w:rPr>
              <w:t>da </w:t>
            </w:r>
            <w:r>
              <w:rPr>
                <w:spacing w:val="-4"/>
                <w:sz w:val="20"/>
              </w:rPr>
              <w:t>continuidade </w:t>
            </w:r>
            <w:r>
              <w:rPr>
                <w:sz w:val="20"/>
              </w:rPr>
              <w:t>de </w:t>
            </w:r>
            <w:r>
              <w:rPr>
                <w:spacing w:val="-4"/>
                <w:sz w:val="20"/>
              </w:rPr>
              <w:t>serviços </w:t>
            </w:r>
            <w:r>
              <w:rPr>
                <w:sz w:val="20"/>
              </w:rPr>
              <w:t>de </w:t>
            </w:r>
            <w:r>
              <w:rPr>
                <w:spacing w:val="-2"/>
                <w:sz w:val="20"/>
              </w:rPr>
              <w:t>TIC </w:t>
            </w:r>
            <w:r>
              <w:rPr>
                <w:spacing w:val="-3"/>
                <w:sz w:val="20"/>
              </w:rPr>
              <w:t>no </w:t>
            </w:r>
            <w:r>
              <w:rPr>
                <w:spacing w:val="-4"/>
                <w:sz w:val="20"/>
              </w:rPr>
              <w:t>tocante </w:t>
            </w:r>
            <w:r>
              <w:rPr>
                <w:spacing w:val="-12"/>
                <w:sz w:val="20"/>
              </w:rPr>
              <w:t>a </w:t>
            </w:r>
            <w:r>
              <w:rPr>
                <w:spacing w:val="-4"/>
                <w:sz w:val="20"/>
              </w:rPr>
              <w:t>climatização,  redundância</w:t>
              <w:tab/>
              <w:tab/>
              <w:tab/>
              <w:tab/>
              <w:tab/>
              <w:tab/>
            </w:r>
            <w:r>
              <w:rPr>
                <w:spacing w:val="-6"/>
                <w:sz w:val="20"/>
              </w:rPr>
              <w:t>elétrica, </w:t>
            </w:r>
            <w:r>
              <w:rPr>
                <w:spacing w:val="-4"/>
                <w:sz w:val="20"/>
              </w:rPr>
              <w:t>monitoramento</w:t>
              <w:tab/>
              <w:tab/>
              <w:tab/>
              <w:tab/>
              <w:tab/>
              <w:tab/>
            </w:r>
            <w:r>
              <w:rPr>
                <w:spacing w:val="-9"/>
                <w:sz w:val="20"/>
              </w:rPr>
              <w:t>de </w:t>
            </w:r>
            <w:r>
              <w:rPr>
                <w:spacing w:val="-4"/>
                <w:sz w:val="20"/>
              </w:rPr>
              <w:t>situações</w:t>
              <w:tab/>
              <w:tab/>
              <w:tab/>
            </w:r>
            <w:r>
              <w:rPr>
                <w:sz w:val="20"/>
              </w:rPr>
              <w:t>de</w:t>
              <w:tab/>
              <w:tab/>
              <w:tab/>
              <w:tab/>
              <w:tab/>
            </w:r>
            <w:r>
              <w:rPr>
                <w:spacing w:val="-6"/>
                <w:sz w:val="20"/>
              </w:rPr>
              <w:t>risco, </w:t>
            </w:r>
            <w:r>
              <w:rPr>
                <w:spacing w:val="-4"/>
                <w:sz w:val="20"/>
              </w:rPr>
              <w:t>segurança </w:t>
            </w:r>
            <w:r>
              <w:rPr>
                <w:sz w:val="20"/>
              </w:rPr>
              <w:t>de </w:t>
            </w:r>
            <w:r>
              <w:rPr>
                <w:spacing w:val="-4"/>
                <w:sz w:val="20"/>
              </w:rPr>
              <w:t>acesso, </w:t>
            </w:r>
            <w:r>
              <w:rPr>
                <w:spacing w:val="-3"/>
                <w:sz w:val="20"/>
              </w:rPr>
              <w:t>etc. </w:t>
            </w:r>
            <w:r>
              <w:rPr>
                <w:spacing w:val="-4"/>
                <w:sz w:val="20"/>
              </w:rPr>
              <w:t>Pretende-se</w:t>
              <w:tab/>
              <w:tab/>
              <w:tab/>
              <w:tab/>
            </w:r>
            <w:r>
              <w:rPr>
                <w:spacing w:val="-6"/>
                <w:sz w:val="20"/>
              </w:rPr>
              <w:t>contratar </w:t>
            </w:r>
            <w:r>
              <w:rPr>
                <w:spacing w:val="-4"/>
                <w:sz w:val="20"/>
              </w:rPr>
              <w:t>projeto para implantação </w:t>
            </w:r>
            <w:r>
              <w:rPr>
                <w:sz w:val="20"/>
              </w:rPr>
              <w:t>de </w:t>
            </w:r>
            <w:r>
              <w:rPr>
                <w:spacing w:val="-4"/>
                <w:sz w:val="20"/>
              </w:rPr>
              <w:t>sala segura. </w:t>
            </w:r>
            <w:r>
              <w:rPr>
                <w:spacing w:val="-3"/>
                <w:sz w:val="20"/>
              </w:rPr>
              <w:t>OBS. </w:t>
            </w:r>
            <w:r>
              <w:rPr>
                <w:spacing w:val="-4"/>
                <w:sz w:val="20"/>
              </w:rPr>
              <w:t>recentemente</w:t>
              <w:tab/>
              <w:tab/>
              <w:tab/>
              <w:tab/>
              <w:tab/>
              <w:tab/>
              <w:tab/>
              <w:tab/>
            </w:r>
            <w:r>
              <w:rPr>
                <w:spacing w:val="-15"/>
                <w:sz w:val="20"/>
              </w:rPr>
              <w:t>a </w:t>
            </w:r>
            <w:r>
              <w:rPr>
                <w:spacing w:val="-4"/>
                <w:sz w:val="20"/>
              </w:rPr>
              <w:t>COINFRA identificou </w:t>
            </w:r>
            <w:r>
              <w:rPr>
                <w:spacing w:val="-3"/>
                <w:sz w:val="20"/>
              </w:rPr>
              <w:t>no </w:t>
            </w:r>
            <w:r>
              <w:rPr>
                <w:spacing w:val="-4"/>
                <w:sz w:val="20"/>
              </w:rPr>
              <w:t>mercado</w:t>
              <w:tab/>
              <w:tab/>
              <w:t>opção</w:t>
              <w:tab/>
              <w:tab/>
            </w:r>
            <w:r>
              <w:rPr>
                <w:spacing w:val="-8"/>
                <w:sz w:val="20"/>
              </w:rPr>
              <w:t>de </w:t>
            </w:r>
            <w:r>
              <w:rPr>
                <w:spacing w:val="-4"/>
                <w:sz w:val="20"/>
              </w:rPr>
              <w:t>contêiner datacenter </w:t>
            </w:r>
            <w:r>
              <w:rPr>
                <w:spacing w:val="-3"/>
                <w:sz w:val="20"/>
              </w:rPr>
              <w:t>cujos </w:t>
            </w:r>
            <w:r>
              <w:rPr>
                <w:spacing w:val="-4"/>
                <w:sz w:val="20"/>
              </w:rPr>
              <w:t>custos </w:t>
            </w:r>
            <w:r>
              <w:rPr>
                <w:sz w:val="20"/>
              </w:rPr>
              <w:t>se </w:t>
            </w:r>
            <w:r>
              <w:rPr>
                <w:spacing w:val="-4"/>
                <w:sz w:val="20"/>
              </w:rPr>
              <w:t>assemelham </w:t>
            </w:r>
            <w:r>
              <w:rPr>
                <w:spacing w:val="-3"/>
                <w:sz w:val="20"/>
              </w:rPr>
              <w:t>aos </w:t>
            </w:r>
            <w:r>
              <w:rPr>
                <w:sz w:val="20"/>
              </w:rPr>
              <w:t>da </w:t>
            </w:r>
            <w:r>
              <w:rPr>
                <w:spacing w:val="-4"/>
                <w:sz w:val="20"/>
              </w:rPr>
              <w:t>construção </w:t>
            </w:r>
            <w:r>
              <w:rPr>
                <w:sz w:val="20"/>
              </w:rPr>
              <w:t>da </w:t>
            </w:r>
            <w:r>
              <w:rPr>
                <w:spacing w:val="-3"/>
                <w:sz w:val="20"/>
              </w:rPr>
              <w:t>sala </w:t>
            </w:r>
            <w:r>
              <w:rPr>
                <w:spacing w:val="-4"/>
                <w:sz w:val="20"/>
              </w:rPr>
              <w:t>segura</w:t>
              <w:tab/>
              <w:tab/>
              <w:tab/>
              <w:t>inicialmente prevista, </w:t>
            </w:r>
            <w:r>
              <w:rPr>
                <w:spacing w:val="-3"/>
                <w:sz w:val="20"/>
              </w:rPr>
              <w:t>mas com </w:t>
            </w:r>
            <w:r>
              <w:rPr>
                <w:sz w:val="20"/>
              </w:rPr>
              <w:t>o </w:t>
            </w:r>
            <w:r>
              <w:rPr>
                <w:spacing w:val="-4"/>
                <w:sz w:val="20"/>
              </w:rPr>
              <w:t>diferencial </w:t>
            </w:r>
            <w:r>
              <w:rPr>
                <w:sz w:val="20"/>
              </w:rPr>
              <w:t>de </w:t>
            </w:r>
            <w:r>
              <w:rPr>
                <w:spacing w:val="-4"/>
                <w:sz w:val="20"/>
              </w:rPr>
              <w:t>ser solução provida</w:t>
              <w:tab/>
            </w:r>
            <w:r>
              <w:rPr>
                <w:spacing w:val="-3"/>
                <w:sz w:val="20"/>
              </w:rPr>
              <w:t>por</w:t>
              <w:tab/>
              <w:tab/>
              <w:tab/>
            </w:r>
            <w:r>
              <w:rPr>
                <w:spacing w:val="-6"/>
                <w:sz w:val="20"/>
              </w:rPr>
              <w:t>empresa </w:t>
            </w:r>
            <w:r>
              <w:rPr>
                <w:spacing w:val="-4"/>
                <w:sz w:val="20"/>
              </w:rPr>
              <w:t>especializada </w:t>
            </w:r>
            <w:r>
              <w:rPr>
                <w:sz w:val="20"/>
              </w:rPr>
              <w:t>e </w:t>
            </w:r>
            <w:r>
              <w:rPr>
                <w:spacing w:val="-3"/>
                <w:sz w:val="20"/>
              </w:rPr>
              <w:t>com </w:t>
            </w:r>
            <w:r>
              <w:rPr>
                <w:sz w:val="20"/>
              </w:rPr>
              <w:t>as </w:t>
            </w:r>
            <w:r>
              <w:rPr>
                <w:spacing w:val="-4"/>
                <w:sz w:val="20"/>
              </w:rPr>
              <w:t>certificações</w:t>
              <w:tab/>
              <w:tab/>
              <w:tab/>
            </w:r>
            <w:r>
              <w:rPr>
                <w:spacing w:val="-6"/>
                <w:sz w:val="20"/>
              </w:rPr>
              <w:t>mínimas, </w:t>
            </w:r>
            <w:r>
              <w:rPr>
                <w:spacing w:val="-4"/>
                <w:sz w:val="20"/>
              </w:rPr>
              <w:t>sendo, portanto, possível </w:t>
            </w:r>
            <w:r>
              <w:rPr>
                <w:sz w:val="20"/>
              </w:rPr>
              <w:t>o</w:t>
              <w:tab/>
            </w:r>
            <w:r>
              <w:rPr>
                <w:spacing w:val="-4"/>
                <w:sz w:val="20"/>
              </w:rPr>
              <w:t>cancelamento</w:t>
              <w:tab/>
              <w:tab/>
            </w:r>
            <w:r>
              <w:rPr>
                <w:spacing w:val="-6"/>
                <w:sz w:val="20"/>
              </w:rPr>
              <w:t>desta </w:t>
            </w:r>
            <w:r>
              <w:rPr>
                <w:spacing w:val="-4"/>
                <w:sz w:val="20"/>
              </w:rPr>
              <w:t>contratação </w:t>
            </w:r>
            <w:r>
              <w:rPr>
                <w:sz w:val="20"/>
              </w:rPr>
              <w:t>em </w:t>
            </w:r>
            <w:r>
              <w:rPr>
                <w:spacing w:val="-3"/>
                <w:sz w:val="20"/>
              </w:rPr>
              <w:t>2014 </w:t>
            </w:r>
            <w:r>
              <w:rPr>
                <w:spacing w:val="-11"/>
                <w:sz w:val="20"/>
              </w:rPr>
              <w:t>e </w:t>
            </w:r>
            <w:r>
              <w:rPr>
                <w:spacing w:val="-4"/>
                <w:sz w:val="20"/>
              </w:rPr>
              <w:t>inclusão </w:t>
            </w:r>
            <w:r>
              <w:rPr>
                <w:sz w:val="20"/>
              </w:rPr>
              <w:t>de </w:t>
            </w:r>
            <w:r>
              <w:rPr>
                <w:spacing w:val="-4"/>
                <w:sz w:val="20"/>
              </w:rPr>
              <w:t>aquisição</w:t>
            </w:r>
            <w:r>
              <w:rPr>
                <w:spacing w:val="7"/>
                <w:sz w:val="20"/>
              </w:rPr>
              <w:t> </w:t>
            </w:r>
            <w:r>
              <w:rPr>
                <w:sz w:val="20"/>
              </w:rPr>
              <w:t>de</w:t>
            </w:r>
          </w:p>
          <w:p>
            <w:pPr>
              <w:pStyle w:val="TableParagraph"/>
              <w:spacing w:line="217" w:lineRule="exact"/>
              <w:ind w:left="74"/>
              <w:rPr>
                <w:sz w:val="20"/>
              </w:rPr>
            </w:pPr>
            <w:r>
              <w:rPr>
                <w:sz w:val="20"/>
              </w:rPr>
              <w:t>contêiner para 2015.</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54"/>
              <w:ind w:left="307"/>
              <w:rPr>
                <w:sz w:val="20"/>
              </w:rPr>
            </w:pPr>
            <w:r>
              <w:rPr>
                <w:sz w:val="20"/>
              </w:rPr>
              <w:t>17/3/2014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54"/>
              <w:ind w:left="297"/>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line="229" w:lineRule="exact" w:before="179"/>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54"/>
              <w:ind w:left="409"/>
              <w:rPr>
                <w:sz w:val="20"/>
              </w:rPr>
            </w:pPr>
            <w:r>
              <w:rPr>
                <w:sz w:val="20"/>
              </w:rPr>
              <w:t>70.000,00</w:t>
            </w:r>
          </w:p>
        </w:tc>
        <w:tc>
          <w:tcPr>
            <w:tcW w:w="1560"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9"/>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5"/>
              </w:rPr>
            </w:pPr>
          </w:p>
          <w:p>
            <w:pPr>
              <w:pStyle w:val="TableParagraph"/>
              <w:ind w:left="73" w:right="155"/>
              <w:rPr>
                <w:sz w:val="20"/>
              </w:rPr>
            </w:pPr>
            <w:r>
              <w:rPr>
                <w:sz w:val="20"/>
              </w:rPr>
              <w:t>COINFR A/STI</w:t>
            </w:r>
          </w:p>
        </w:tc>
        <w:tc>
          <w:tcPr>
            <w:tcW w:w="1404" w:type="dxa"/>
          </w:tcPr>
          <w:p>
            <w:pPr>
              <w:pStyle w:val="TableParagraph"/>
              <w:rPr>
                <w:sz w:val="18"/>
              </w:rPr>
            </w:pPr>
          </w:p>
        </w:tc>
      </w:tr>
    </w:tbl>
    <w:p>
      <w:pPr>
        <w:spacing w:after="0"/>
        <w:rPr>
          <w:sz w:val="18"/>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276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1"/>
              </w:rPr>
            </w:pPr>
          </w:p>
          <w:p>
            <w:pPr>
              <w:pStyle w:val="TableParagraph"/>
              <w:ind w:left="167" w:right="153"/>
              <w:jc w:val="center"/>
              <w:rPr>
                <w:sz w:val="20"/>
              </w:rPr>
            </w:pPr>
            <w:r>
              <w:rPr>
                <w:sz w:val="20"/>
              </w:rPr>
              <w:t>12</w:t>
            </w:r>
          </w:p>
        </w:tc>
        <w:tc>
          <w:tcPr>
            <w:tcW w:w="1419" w:type="dxa"/>
          </w:tcPr>
          <w:p>
            <w:pPr>
              <w:pStyle w:val="TableParagraph"/>
              <w:rPr>
                <w:sz w:val="22"/>
              </w:rPr>
            </w:pPr>
          </w:p>
          <w:p>
            <w:pPr>
              <w:pStyle w:val="TableParagraph"/>
              <w:rPr>
                <w:sz w:val="22"/>
              </w:rPr>
            </w:pPr>
          </w:p>
          <w:p>
            <w:pPr>
              <w:pStyle w:val="TableParagraph"/>
              <w:rPr>
                <w:sz w:val="22"/>
              </w:rPr>
            </w:pPr>
          </w:p>
          <w:p>
            <w:pPr>
              <w:pStyle w:val="TableParagraph"/>
              <w:spacing w:before="154"/>
              <w:ind w:left="74" w:right="55"/>
              <w:jc w:val="both"/>
              <w:rPr>
                <w:sz w:val="20"/>
              </w:rPr>
            </w:pPr>
            <w:r>
              <w:rPr>
                <w:sz w:val="20"/>
              </w:rPr>
              <w:t>Locação de Notebooks para a Transmissão Remota</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1"/>
              </w:rPr>
            </w:pPr>
          </w:p>
          <w:p>
            <w:pPr>
              <w:pStyle w:val="TableParagraph"/>
              <w:ind w:left="74"/>
              <w:rPr>
                <w:sz w:val="20"/>
              </w:rPr>
            </w:pPr>
            <w:r>
              <w:rPr>
                <w:sz w:val="20"/>
              </w:rPr>
              <w:t>COELE</w:t>
            </w:r>
          </w:p>
        </w:tc>
        <w:tc>
          <w:tcPr>
            <w:tcW w:w="2124" w:type="dxa"/>
          </w:tcPr>
          <w:p>
            <w:pPr>
              <w:pStyle w:val="TableParagraph"/>
              <w:tabs>
                <w:tab w:pos="1580" w:val="left" w:leader="none"/>
              </w:tabs>
              <w:ind w:left="74" w:right="52"/>
              <w:jc w:val="both"/>
              <w:rPr>
                <w:sz w:val="20"/>
              </w:rPr>
            </w:pPr>
            <w:r>
              <w:rPr>
                <w:sz w:val="20"/>
              </w:rPr>
              <w:t>A contratação de uma empresa especializada em locação </w:t>
            </w:r>
            <w:r>
              <w:rPr>
                <w:spacing w:val="-6"/>
                <w:sz w:val="20"/>
              </w:rPr>
              <w:t>de </w:t>
            </w:r>
            <w:r>
              <w:rPr>
                <w:sz w:val="20"/>
              </w:rPr>
              <w:t>notebooks</w:t>
              <w:tab/>
            </w:r>
            <w:r>
              <w:rPr>
                <w:spacing w:val="-3"/>
                <w:sz w:val="20"/>
              </w:rPr>
              <w:t>faz-se</w:t>
            </w:r>
          </w:p>
          <w:p>
            <w:pPr>
              <w:pStyle w:val="TableParagraph"/>
              <w:tabs>
                <w:tab w:pos="1714" w:val="left" w:leader="none"/>
              </w:tabs>
              <w:ind w:left="74" w:right="50"/>
              <w:jc w:val="both"/>
              <w:rPr>
                <w:sz w:val="20"/>
              </w:rPr>
            </w:pPr>
            <w:r>
              <w:rPr>
                <w:sz w:val="20"/>
              </w:rPr>
              <w:t>necessária</w:t>
              <w:tab/>
            </w:r>
            <w:r>
              <w:rPr>
                <w:spacing w:val="-4"/>
                <w:sz w:val="20"/>
              </w:rPr>
              <w:t>para </w:t>
            </w:r>
            <w:r>
              <w:rPr>
                <w:sz w:val="20"/>
              </w:rPr>
              <w:t>viabilizar o projeto </w:t>
            </w:r>
            <w:r>
              <w:rPr>
                <w:spacing w:val="-7"/>
                <w:sz w:val="20"/>
              </w:rPr>
              <w:t>de </w:t>
            </w:r>
            <w:r>
              <w:rPr>
                <w:sz w:val="20"/>
              </w:rPr>
              <w:t>trasmissão remota dos resultados das Seções diretamente do local de votação, objetivando maior     celeridade    </w:t>
            </w:r>
            <w:r>
              <w:rPr>
                <w:spacing w:val="2"/>
                <w:sz w:val="20"/>
              </w:rPr>
              <w:t> </w:t>
            </w:r>
            <w:r>
              <w:rPr>
                <w:sz w:val="20"/>
              </w:rPr>
              <w:t>ao</w:t>
            </w:r>
          </w:p>
          <w:p>
            <w:pPr>
              <w:pStyle w:val="TableParagraph"/>
              <w:spacing w:line="217" w:lineRule="exact"/>
              <w:ind w:left="74"/>
              <w:jc w:val="both"/>
              <w:rPr>
                <w:sz w:val="20"/>
              </w:rPr>
            </w:pPr>
            <w:r>
              <w:rPr>
                <w:sz w:val="20"/>
              </w:rPr>
              <w:t>processo de apuração.</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1"/>
              </w:rPr>
            </w:pPr>
          </w:p>
          <w:p>
            <w:pPr>
              <w:pStyle w:val="TableParagraph"/>
              <w:ind w:left="237" w:right="220"/>
              <w:jc w:val="center"/>
              <w:rPr>
                <w:sz w:val="20"/>
              </w:rPr>
            </w:pPr>
            <w:r>
              <w:rPr>
                <w:sz w:val="20"/>
              </w:rPr>
              <w:t>10/3/2014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1"/>
              </w:rPr>
            </w:pPr>
          </w:p>
          <w:p>
            <w:pPr>
              <w:pStyle w:val="TableParagraph"/>
              <w:ind w:right="278"/>
              <w:jc w:val="right"/>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54" w:right="40"/>
              <w:jc w:val="center"/>
              <w:rPr>
                <w:sz w:val="20"/>
              </w:rPr>
            </w:pPr>
            <w:r>
              <w:rPr>
                <w:sz w:val="20"/>
              </w:rPr>
              <w:t>2.061.057.</w:t>
            </w:r>
          </w:p>
          <w:p>
            <w:pPr>
              <w:pStyle w:val="TableParagraph"/>
              <w:spacing w:before="1"/>
              <w:ind w:left="54" w:right="38"/>
              <w:jc w:val="center"/>
              <w:rPr>
                <w:sz w:val="20"/>
              </w:rPr>
            </w:pPr>
            <w:r>
              <w:rPr>
                <w:sz w:val="20"/>
              </w:rPr>
              <w:t>042.690.0</w:t>
            </w:r>
          </w:p>
          <w:p>
            <w:pPr>
              <w:pStyle w:val="TableParagraph"/>
              <w:ind w:left="54" w:right="36"/>
              <w:jc w:val="center"/>
              <w:rPr>
                <w:sz w:val="20"/>
              </w:rPr>
            </w:pPr>
            <w:r>
              <w:rPr>
                <w:sz w:val="20"/>
              </w:rPr>
              <w:t>00</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21"/>
              </w:rPr>
            </w:pPr>
          </w:p>
          <w:p>
            <w:pPr>
              <w:pStyle w:val="TableParagraph"/>
              <w:ind w:right="54"/>
              <w:jc w:val="right"/>
              <w:rPr>
                <w:sz w:val="20"/>
              </w:rPr>
            </w:pPr>
            <w:r>
              <w:rPr>
                <w:w w:val="95"/>
                <w:sz w:val="20"/>
              </w:rPr>
              <w:t>25.000,00</w:t>
            </w:r>
          </w:p>
        </w:tc>
        <w:tc>
          <w:tcPr>
            <w:tcW w:w="1560" w:type="dxa"/>
          </w:tcPr>
          <w:p>
            <w:pPr>
              <w:pStyle w:val="TableParagraph"/>
              <w:rPr>
                <w:sz w:val="22"/>
              </w:rPr>
            </w:pPr>
          </w:p>
          <w:p>
            <w:pPr>
              <w:pStyle w:val="TableParagraph"/>
              <w:spacing w:before="6"/>
              <w:rPr>
                <w:sz w:val="27"/>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73" w:right="150"/>
              <w:jc w:val="both"/>
              <w:rPr>
                <w:sz w:val="20"/>
              </w:rPr>
            </w:pPr>
            <w:r>
              <w:rPr>
                <w:sz w:val="20"/>
              </w:rPr>
              <w:t>SEQUIP/ COINFR A/STI</w:t>
            </w:r>
          </w:p>
        </w:tc>
        <w:tc>
          <w:tcPr>
            <w:tcW w:w="1404" w:type="dxa"/>
          </w:tcPr>
          <w:p>
            <w:pPr>
              <w:pStyle w:val="TableParagraph"/>
              <w:rPr>
                <w:sz w:val="18"/>
              </w:rPr>
            </w:pPr>
          </w:p>
        </w:tc>
      </w:tr>
      <w:tr>
        <w:trPr>
          <w:trHeight w:val="161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178"/>
              <w:ind w:left="167" w:right="153"/>
              <w:jc w:val="center"/>
              <w:rPr>
                <w:sz w:val="20"/>
              </w:rPr>
            </w:pPr>
            <w:r>
              <w:rPr>
                <w:sz w:val="20"/>
              </w:rPr>
              <w:t>13</w:t>
            </w:r>
          </w:p>
        </w:tc>
        <w:tc>
          <w:tcPr>
            <w:tcW w:w="1419" w:type="dxa"/>
          </w:tcPr>
          <w:p>
            <w:pPr>
              <w:pStyle w:val="TableParagraph"/>
              <w:rPr>
                <w:sz w:val="22"/>
              </w:rPr>
            </w:pPr>
          </w:p>
          <w:p>
            <w:pPr>
              <w:pStyle w:val="TableParagraph"/>
              <w:spacing w:before="5"/>
              <w:rPr>
                <w:sz w:val="17"/>
              </w:rPr>
            </w:pPr>
          </w:p>
          <w:p>
            <w:pPr>
              <w:pStyle w:val="TableParagraph"/>
              <w:spacing w:before="1"/>
              <w:ind w:left="74" w:right="60"/>
              <w:rPr>
                <w:sz w:val="20"/>
              </w:rPr>
            </w:pPr>
            <w:r>
              <w:rPr>
                <w:w w:val="95"/>
                <w:sz w:val="20"/>
              </w:rPr>
              <w:t>Manutenção </w:t>
            </w:r>
            <w:r>
              <w:rPr>
                <w:sz w:val="20"/>
              </w:rPr>
              <w:t>Software ALEPH</w:t>
            </w:r>
          </w:p>
        </w:tc>
        <w:tc>
          <w:tcPr>
            <w:tcW w:w="1135" w:type="dxa"/>
          </w:tcPr>
          <w:p>
            <w:pPr>
              <w:pStyle w:val="TableParagraph"/>
              <w:rPr>
                <w:sz w:val="22"/>
              </w:rPr>
            </w:pPr>
          </w:p>
          <w:p>
            <w:pPr>
              <w:pStyle w:val="TableParagraph"/>
              <w:spacing w:before="5"/>
              <w:rPr>
                <w:sz w:val="17"/>
              </w:rPr>
            </w:pPr>
          </w:p>
          <w:p>
            <w:pPr>
              <w:pStyle w:val="TableParagraph"/>
              <w:spacing w:before="1"/>
              <w:ind w:left="74" w:right="250"/>
              <w:jc w:val="both"/>
              <w:rPr>
                <w:sz w:val="20"/>
              </w:rPr>
            </w:pPr>
            <w:r>
              <w:rPr>
                <w:w w:val="95"/>
                <w:sz w:val="20"/>
              </w:rPr>
              <w:t>SEBLIM- </w:t>
            </w:r>
            <w:r>
              <w:rPr>
                <w:sz w:val="20"/>
              </w:rPr>
              <w:t>COGED- SGA</w:t>
            </w:r>
          </w:p>
        </w:tc>
        <w:tc>
          <w:tcPr>
            <w:tcW w:w="2124" w:type="dxa"/>
          </w:tcPr>
          <w:p>
            <w:pPr>
              <w:pStyle w:val="TableParagraph"/>
              <w:spacing w:before="5"/>
              <w:rPr>
                <w:sz w:val="19"/>
              </w:rPr>
            </w:pPr>
          </w:p>
          <w:p>
            <w:pPr>
              <w:pStyle w:val="TableParagraph"/>
              <w:ind w:left="74" w:right="53"/>
              <w:jc w:val="both"/>
              <w:rPr>
                <w:sz w:val="20"/>
              </w:rPr>
            </w:pPr>
            <w:r>
              <w:rPr>
                <w:sz w:val="20"/>
              </w:rPr>
              <w:t>Aperfeiçoamento </w:t>
            </w:r>
            <w:r>
              <w:rPr>
                <w:spacing w:val="-7"/>
                <w:sz w:val="20"/>
              </w:rPr>
              <w:t>do </w:t>
            </w:r>
            <w:r>
              <w:rPr>
                <w:sz w:val="20"/>
              </w:rPr>
              <w:t>sistema de automação da biblioteca, através </w:t>
            </w:r>
            <w:r>
              <w:rPr>
                <w:spacing w:val="-6"/>
                <w:sz w:val="20"/>
              </w:rPr>
              <w:t>do </w:t>
            </w:r>
            <w:r>
              <w:rPr>
                <w:sz w:val="20"/>
              </w:rPr>
              <w:t>fornecimento de novas versões do</w:t>
            </w:r>
            <w:r>
              <w:rPr>
                <w:spacing w:val="-2"/>
                <w:sz w:val="20"/>
              </w:rPr>
              <w:t> </w:t>
            </w:r>
            <w:r>
              <w:rPr>
                <w:sz w:val="20"/>
              </w:rPr>
              <w:t>sistema.</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178"/>
              <w:ind w:left="237" w:right="219"/>
              <w:jc w:val="center"/>
              <w:rPr>
                <w:sz w:val="20"/>
              </w:rPr>
            </w:pPr>
            <w:r>
              <w:rPr>
                <w:sz w:val="20"/>
              </w:rPr>
              <w:t>3/7/2014</w:t>
            </w:r>
          </w:p>
        </w:tc>
        <w:tc>
          <w:tcPr>
            <w:tcW w:w="1275" w:type="dxa"/>
          </w:tcPr>
          <w:p>
            <w:pPr>
              <w:pStyle w:val="TableParagraph"/>
              <w:rPr>
                <w:sz w:val="22"/>
              </w:rPr>
            </w:pPr>
          </w:p>
          <w:p>
            <w:pPr>
              <w:pStyle w:val="TableParagraph"/>
              <w:rPr>
                <w:sz w:val="22"/>
              </w:rPr>
            </w:pPr>
          </w:p>
          <w:p>
            <w:pPr>
              <w:pStyle w:val="TableParagraph"/>
              <w:spacing w:before="178"/>
              <w:ind w:right="278"/>
              <w:jc w:val="right"/>
              <w:rPr>
                <w:sz w:val="20"/>
              </w:rPr>
            </w:pPr>
            <w:r>
              <w:rPr>
                <w:sz w:val="20"/>
              </w:rPr>
              <w:t>Serviços</w:t>
            </w:r>
          </w:p>
        </w:tc>
        <w:tc>
          <w:tcPr>
            <w:tcW w:w="994" w:type="dxa"/>
          </w:tcPr>
          <w:p>
            <w:pPr>
              <w:pStyle w:val="TableParagraph"/>
              <w:rPr>
                <w:sz w:val="22"/>
              </w:rPr>
            </w:pPr>
          </w:p>
          <w:p>
            <w:pPr>
              <w:pStyle w:val="TableParagraph"/>
              <w:spacing w:before="5"/>
              <w:rPr>
                <w:sz w:val="17"/>
              </w:rPr>
            </w:pPr>
          </w:p>
          <w:p>
            <w:pPr>
              <w:pStyle w:val="TableParagraph"/>
              <w:spacing w:before="1"/>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spacing w:line="229" w:lineRule="exact"/>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8"/>
              <w:ind w:right="54"/>
              <w:jc w:val="right"/>
              <w:rPr>
                <w:sz w:val="20"/>
              </w:rPr>
            </w:pPr>
            <w:r>
              <w:rPr>
                <w:w w:val="95"/>
                <w:sz w:val="20"/>
              </w:rPr>
              <w:t>18.000,00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7"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spacing w:before="1"/>
              <w:ind w:left="73" w:right="41"/>
              <w:rPr>
                <w:sz w:val="20"/>
              </w:rPr>
            </w:pPr>
            <w:r>
              <w:rPr>
                <w:w w:val="95"/>
                <w:sz w:val="20"/>
              </w:rPr>
              <w:t>SEDESC/ COSCOR</w:t>
            </w:r>
          </w:p>
          <w:p>
            <w:pPr>
              <w:pStyle w:val="TableParagraph"/>
              <w:spacing w:line="228" w:lineRule="exact"/>
              <w:ind w:left="73"/>
              <w:rPr>
                <w:sz w:val="20"/>
              </w:rPr>
            </w:pPr>
            <w:r>
              <w:rPr>
                <w:sz w:val="20"/>
              </w:rPr>
              <w:t>/STI</w:t>
            </w:r>
          </w:p>
        </w:tc>
        <w:tc>
          <w:tcPr>
            <w:tcW w:w="1404" w:type="dxa"/>
          </w:tcPr>
          <w:p>
            <w:pPr>
              <w:pStyle w:val="TableParagraph"/>
              <w:rPr>
                <w:sz w:val="18"/>
              </w:rPr>
            </w:pPr>
          </w:p>
        </w:tc>
      </w:tr>
      <w:tr>
        <w:trPr>
          <w:trHeight w:val="3055"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42"/>
              <w:ind w:left="167" w:right="153"/>
              <w:jc w:val="center"/>
              <w:rPr>
                <w:sz w:val="20"/>
              </w:rPr>
            </w:pPr>
            <w:r>
              <w:rPr>
                <w:sz w:val="20"/>
              </w:rPr>
              <w:t>14</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65"/>
              <w:ind w:left="74" w:right="57"/>
              <w:jc w:val="both"/>
              <w:rPr>
                <w:sz w:val="20"/>
              </w:rPr>
            </w:pPr>
            <w:r>
              <w:rPr>
                <w:sz w:val="20"/>
              </w:rPr>
              <w:t>Serviço de hospedagem de site</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42"/>
              <w:ind w:left="74"/>
              <w:rPr>
                <w:sz w:val="20"/>
              </w:rPr>
            </w:pPr>
            <w:r>
              <w:rPr>
                <w:sz w:val="20"/>
              </w:rPr>
              <w:t>EJE</w:t>
            </w:r>
          </w:p>
        </w:tc>
        <w:tc>
          <w:tcPr>
            <w:tcW w:w="2124" w:type="dxa"/>
          </w:tcPr>
          <w:p>
            <w:pPr>
              <w:pStyle w:val="TableParagraph"/>
              <w:spacing w:before="1"/>
              <w:rPr>
                <w:sz w:val="32"/>
              </w:rPr>
            </w:pPr>
          </w:p>
          <w:p>
            <w:pPr>
              <w:pStyle w:val="TableParagraph"/>
              <w:tabs>
                <w:tab w:pos="805" w:val="left" w:leader="none"/>
                <w:tab w:pos="1714" w:val="left" w:leader="none"/>
                <w:tab w:pos="1968" w:val="left" w:leader="none"/>
              </w:tabs>
              <w:spacing w:before="1"/>
              <w:ind w:left="74" w:right="52"/>
              <w:rPr>
                <w:sz w:val="20"/>
              </w:rPr>
            </w:pPr>
            <w:r>
              <w:rPr>
                <w:sz w:val="20"/>
              </w:rPr>
              <w:t>Este serviço presta-se </w:t>
            </w:r>
            <w:r>
              <w:rPr>
                <w:spacing w:val="-11"/>
                <w:sz w:val="20"/>
              </w:rPr>
              <w:t>a </w:t>
            </w:r>
            <w:r>
              <w:rPr>
                <w:sz w:val="20"/>
              </w:rPr>
              <w:t>uma demanda de ensino a distância da </w:t>
            </w:r>
            <w:r>
              <w:rPr>
                <w:spacing w:val="-3"/>
                <w:sz w:val="20"/>
              </w:rPr>
              <w:t>Escola </w:t>
            </w:r>
            <w:r>
              <w:rPr>
                <w:sz w:val="20"/>
              </w:rPr>
              <w:t>Judiciária, em caráter de alto consumo de </w:t>
            </w:r>
            <w:r>
              <w:rPr>
                <w:spacing w:val="-3"/>
                <w:sz w:val="20"/>
              </w:rPr>
              <w:t>banda </w:t>
            </w:r>
            <w:r>
              <w:rPr>
                <w:sz w:val="20"/>
              </w:rPr>
              <w:t>de</w:t>
              <w:tab/>
              <w:t>Internet</w:t>
              <w:tab/>
              <w:tab/>
            </w:r>
            <w:r>
              <w:rPr>
                <w:spacing w:val="-15"/>
                <w:sz w:val="20"/>
              </w:rPr>
              <w:t>e </w:t>
            </w:r>
            <w:r>
              <w:rPr>
                <w:sz w:val="20"/>
              </w:rPr>
              <w:t>processamento, o </w:t>
            </w:r>
            <w:r>
              <w:rPr>
                <w:spacing w:val="-5"/>
                <w:sz w:val="20"/>
              </w:rPr>
              <w:t>que </w:t>
            </w:r>
            <w:r>
              <w:rPr>
                <w:sz w:val="20"/>
              </w:rPr>
              <w:t>caracteriza vantajosidade</w:t>
              <w:tab/>
            </w:r>
            <w:r>
              <w:rPr>
                <w:spacing w:val="-5"/>
                <w:sz w:val="20"/>
              </w:rPr>
              <w:t>para </w:t>
            </w:r>
            <w:r>
              <w:rPr>
                <w:sz w:val="20"/>
              </w:rPr>
              <w:t>terceirização.</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42"/>
              <w:ind w:left="237" w:right="220"/>
              <w:jc w:val="center"/>
              <w:rPr>
                <w:sz w:val="20"/>
              </w:rPr>
            </w:pPr>
            <w:r>
              <w:rPr>
                <w:sz w:val="20"/>
              </w:rPr>
              <w:t>16/6/2014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42"/>
              <w:ind w:right="278"/>
              <w:jc w:val="right"/>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65"/>
              <w:ind w:left="54" w:right="38"/>
              <w:jc w:val="center"/>
              <w:rPr>
                <w:sz w:val="20"/>
              </w:rPr>
            </w:pPr>
            <w:r>
              <w:rPr>
                <w:sz w:val="20"/>
              </w:rPr>
              <w:t>02.122.05</w:t>
            </w:r>
          </w:p>
          <w:p>
            <w:pPr>
              <w:pStyle w:val="TableParagraph"/>
              <w:spacing w:line="229" w:lineRule="exact"/>
              <w:ind w:left="54" w:right="37"/>
              <w:jc w:val="center"/>
              <w:rPr>
                <w:sz w:val="20"/>
              </w:rPr>
            </w:pPr>
            <w:r>
              <w:rPr>
                <w:sz w:val="20"/>
              </w:rPr>
              <w:t>70.20GP.</w:t>
            </w:r>
          </w:p>
          <w:p>
            <w:pPr>
              <w:pStyle w:val="TableParagraph"/>
              <w:spacing w:line="229" w:lineRule="exact"/>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42"/>
              <w:ind w:right="54"/>
              <w:jc w:val="right"/>
              <w:rPr>
                <w:sz w:val="20"/>
              </w:rPr>
            </w:pPr>
            <w:r>
              <w:rPr>
                <w:w w:val="95"/>
                <w:sz w:val="20"/>
              </w:rPr>
              <w:t>4.800,00</w:t>
            </w:r>
          </w:p>
        </w:tc>
        <w:tc>
          <w:tcPr>
            <w:tcW w:w="1560" w:type="dxa"/>
          </w:tcPr>
          <w:p>
            <w:pPr>
              <w:pStyle w:val="TableParagraph"/>
              <w:rPr>
                <w:sz w:val="22"/>
              </w:rPr>
            </w:pPr>
          </w:p>
          <w:p>
            <w:pPr>
              <w:pStyle w:val="TableParagraph"/>
              <w:rPr>
                <w:sz w:val="22"/>
              </w:rPr>
            </w:pPr>
          </w:p>
          <w:p>
            <w:pPr>
              <w:pStyle w:val="TableParagraph"/>
              <w:spacing w:before="2"/>
              <w:rPr>
                <w:sz w:val="18"/>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65"/>
              <w:ind w:left="73" w:right="109"/>
              <w:jc w:val="both"/>
              <w:rPr>
                <w:sz w:val="20"/>
              </w:rPr>
            </w:pPr>
            <w:r>
              <w:rPr>
                <w:sz w:val="20"/>
              </w:rPr>
              <w:t>SESOP/C </w:t>
            </w:r>
            <w:r>
              <w:rPr>
                <w:w w:val="95"/>
                <w:sz w:val="20"/>
              </w:rPr>
              <w:t>OINFRA/ </w:t>
            </w:r>
            <w:r>
              <w:rPr>
                <w:sz w:val="20"/>
              </w:rPr>
              <w:t>STI</w:t>
            </w:r>
          </w:p>
        </w:tc>
        <w:tc>
          <w:tcPr>
            <w:tcW w:w="1404" w:type="dxa"/>
          </w:tcPr>
          <w:p>
            <w:pPr>
              <w:pStyle w:val="TableParagraph"/>
              <w:rPr>
                <w:sz w:val="18"/>
              </w:rPr>
            </w:pPr>
          </w:p>
        </w:tc>
      </w:tr>
    </w:tbl>
    <w:p>
      <w:pPr>
        <w:spacing w:after="0"/>
        <w:rPr>
          <w:sz w:val="18"/>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1610" w:hRule="atLeast"/>
        </w:trPr>
        <w:tc>
          <w:tcPr>
            <w:tcW w:w="576" w:type="dxa"/>
            <w:tcBorders>
              <w:left w:val="single" w:sz="8" w:space="0" w:color="000000"/>
            </w:tcBorders>
          </w:tcPr>
          <w:p>
            <w:pPr>
              <w:pStyle w:val="TableParagraph"/>
              <w:rPr>
                <w:sz w:val="22"/>
              </w:rPr>
            </w:pPr>
          </w:p>
          <w:p>
            <w:pPr>
              <w:pStyle w:val="TableParagraph"/>
              <w:rPr>
                <w:sz w:val="22"/>
              </w:rPr>
            </w:pPr>
          </w:p>
          <w:p>
            <w:pPr>
              <w:pStyle w:val="TableParagraph"/>
              <w:spacing w:before="176"/>
              <w:ind w:left="167" w:right="153"/>
              <w:jc w:val="center"/>
              <w:rPr>
                <w:sz w:val="20"/>
              </w:rPr>
            </w:pPr>
            <w:r>
              <w:rPr>
                <w:sz w:val="20"/>
              </w:rPr>
              <w:t>15</w:t>
            </w:r>
          </w:p>
        </w:tc>
        <w:tc>
          <w:tcPr>
            <w:tcW w:w="1419" w:type="dxa"/>
          </w:tcPr>
          <w:p>
            <w:pPr>
              <w:pStyle w:val="TableParagraph"/>
              <w:spacing w:before="5"/>
              <w:rPr>
                <w:sz w:val="19"/>
              </w:rPr>
            </w:pPr>
          </w:p>
          <w:p>
            <w:pPr>
              <w:pStyle w:val="TableParagraph"/>
              <w:tabs>
                <w:tab w:pos="1163" w:val="left" w:leader="none"/>
                <w:tab w:pos="1194" w:val="left" w:leader="none"/>
              </w:tabs>
              <w:ind w:left="74" w:right="54"/>
              <w:rPr>
                <w:sz w:val="20"/>
              </w:rPr>
            </w:pPr>
            <w:r>
              <w:rPr>
                <w:sz w:val="20"/>
              </w:rPr>
              <w:t>Renovação</w:t>
              <w:tab/>
            </w:r>
            <w:r>
              <w:rPr>
                <w:spacing w:val="-9"/>
                <w:sz w:val="20"/>
              </w:rPr>
              <w:t>de </w:t>
            </w:r>
            <w:r>
              <w:rPr>
                <w:sz w:val="20"/>
              </w:rPr>
              <w:t>Certificado Digital</w:t>
              <w:tab/>
              <w:tab/>
            </w:r>
            <w:r>
              <w:rPr>
                <w:spacing w:val="-8"/>
                <w:sz w:val="20"/>
              </w:rPr>
              <w:t>e- </w:t>
            </w:r>
            <w:r>
              <w:rPr>
                <w:sz w:val="20"/>
              </w:rPr>
              <w:t>equipamento </w:t>
            </w:r>
            <w:r>
              <w:rPr>
                <w:spacing w:val="-3"/>
                <w:sz w:val="20"/>
              </w:rPr>
              <w:t>A1</w:t>
            </w:r>
          </w:p>
        </w:tc>
        <w:tc>
          <w:tcPr>
            <w:tcW w:w="1135" w:type="dxa"/>
          </w:tcPr>
          <w:p>
            <w:pPr>
              <w:pStyle w:val="TableParagraph"/>
              <w:rPr>
                <w:sz w:val="22"/>
              </w:rPr>
            </w:pPr>
          </w:p>
          <w:p>
            <w:pPr>
              <w:pStyle w:val="TableParagraph"/>
              <w:spacing w:before="5"/>
              <w:rPr>
                <w:sz w:val="17"/>
              </w:rPr>
            </w:pPr>
          </w:p>
          <w:p>
            <w:pPr>
              <w:pStyle w:val="TableParagraph"/>
              <w:ind w:left="74" w:right="183"/>
              <w:jc w:val="both"/>
              <w:rPr>
                <w:sz w:val="20"/>
              </w:rPr>
            </w:pPr>
            <w:r>
              <w:rPr>
                <w:sz w:val="20"/>
              </w:rPr>
              <w:t>SEDESC- </w:t>
            </w:r>
            <w:r>
              <w:rPr>
                <w:w w:val="95"/>
                <w:sz w:val="20"/>
              </w:rPr>
              <w:t>COSCOR- </w:t>
            </w:r>
            <w:r>
              <w:rPr>
                <w:sz w:val="20"/>
              </w:rPr>
              <w:t>STI</w:t>
            </w:r>
          </w:p>
        </w:tc>
        <w:tc>
          <w:tcPr>
            <w:tcW w:w="2124" w:type="dxa"/>
          </w:tcPr>
          <w:p>
            <w:pPr>
              <w:pStyle w:val="TableParagraph"/>
              <w:spacing w:before="5"/>
              <w:rPr>
                <w:sz w:val="29"/>
              </w:rPr>
            </w:pPr>
          </w:p>
          <w:p>
            <w:pPr>
              <w:pStyle w:val="TableParagraph"/>
              <w:ind w:left="74" w:right="53"/>
              <w:jc w:val="both"/>
              <w:rPr>
                <w:sz w:val="20"/>
              </w:rPr>
            </w:pPr>
            <w:r>
              <w:rPr>
                <w:sz w:val="20"/>
              </w:rPr>
              <w:t>Servidor web seguro, usado pelo SIEL. Será usado também pela extranet.</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spacing w:before="176"/>
              <w:ind w:left="307"/>
              <w:rPr>
                <w:sz w:val="20"/>
              </w:rPr>
            </w:pPr>
            <w:r>
              <w:rPr>
                <w:sz w:val="20"/>
              </w:rPr>
              <w:t>27/8/2014</w:t>
            </w:r>
          </w:p>
        </w:tc>
        <w:tc>
          <w:tcPr>
            <w:tcW w:w="1275" w:type="dxa"/>
          </w:tcPr>
          <w:p>
            <w:pPr>
              <w:pStyle w:val="TableParagraph"/>
              <w:rPr>
                <w:sz w:val="22"/>
              </w:rPr>
            </w:pPr>
          </w:p>
          <w:p>
            <w:pPr>
              <w:pStyle w:val="TableParagraph"/>
              <w:rPr>
                <w:sz w:val="22"/>
              </w:rPr>
            </w:pPr>
          </w:p>
          <w:p>
            <w:pPr>
              <w:pStyle w:val="TableParagraph"/>
              <w:spacing w:before="176"/>
              <w:ind w:left="170"/>
              <w:rPr>
                <w:sz w:val="20"/>
              </w:rPr>
            </w:pPr>
            <w:r>
              <w:rPr>
                <w:sz w:val="20"/>
              </w:rPr>
              <w:t>Permanente</w:t>
            </w:r>
          </w:p>
        </w:tc>
        <w:tc>
          <w:tcPr>
            <w:tcW w:w="994" w:type="dxa"/>
          </w:tcPr>
          <w:p>
            <w:pPr>
              <w:pStyle w:val="TableParagraph"/>
              <w:rPr>
                <w:sz w:val="22"/>
              </w:rPr>
            </w:pPr>
          </w:p>
          <w:p>
            <w:pPr>
              <w:pStyle w:val="TableParagraph"/>
              <w:spacing w:before="5"/>
              <w:rPr>
                <w:sz w:val="17"/>
              </w:rPr>
            </w:pPr>
          </w:p>
          <w:p>
            <w:pPr>
              <w:pStyle w:val="TableParagraph"/>
              <w:spacing w:line="229" w:lineRule="exact"/>
              <w:ind w:left="54" w:right="38"/>
              <w:jc w:val="center"/>
              <w:rPr>
                <w:sz w:val="20"/>
              </w:rPr>
            </w:pPr>
            <w:r>
              <w:rPr>
                <w:sz w:val="20"/>
              </w:rPr>
              <w:t>02.122.05</w:t>
            </w:r>
          </w:p>
          <w:p>
            <w:pPr>
              <w:pStyle w:val="TableParagraph"/>
              <w:spacing w:line="229" w:lineRule="exact"/>
              <w:ind w:left="54" w:right="38"/>
              <w:jc w:val="center"/>
              <w:rPr>
                <w:sz w:val="20"/>
              </w:rPr>
            </w:pPr>
            <w:r>
              <w:rPr>
                <w:sz w:val="20"/>
              </w:rPr>
              <w:t>70.20GP.</w:t>
            </w:r>
          </w:p>
          <w:p>
            <w:pPr>
              <w:pStyle w:val="TableParagraph"/>
              <w:spacing w:before="1"/>
              <w:ind w:left="54" w:right="36"/>
              <w:jc w:val="center"/>
              <w:rPr>
                <w:sz w:val="20"/>
              </w:rPr>
            </w:pPr>
            <w:r>
              <w:rPr>
                <w:sz w:val="20"/>
              </w:rPr>
              <w:t>0029</w:t>
            </w:r>
          </w:p>
        </w:tc>
        <w:tc>
          <w:tcPr>
            <w:tcW w:w="1275" w:type="dxa"/>
          </w:tcPr>
          <w:p>
            <w:pPr>
              <w:pStyle w:val="TableParagraph"/>
              <w:rPr>
                <w:sz w:val="22"/>
              </w:rPr>
            </w:pPr>
          </w:p>
          <w:p>
            <w:pPr>
              <w:pStyle w:val="TableParagraph"/>
              <w:rPr>
                <w:sz w:val="22"/>
              </w:rPr>
            </w:pPr>
          </w:p>
          <w:p>
            <w:pPr>
              <w:pStyle w:val="TableParagraph"/>
              <w:spacing w:before="176"/>
              <w:ind w:right="54"/>
              <w:jc w:val="right"/>
              <w:rPr>
                <w:sz w:val="20"/>
              </w:rPr>
            </w:pPr>
            <w:r>
              <w:rPr>
                <w:w w:val="95"/>
                <w:sz w:val="20"/>
              </w:rPr>
              <w:t>1.000,00</w:t>
            </w:r>
          </w:p>
        </w:tc>
        <w:tc>
          <w:tcPr>
            <w:tcW w:w="1560" w:type="dxa"/>
          </w:tcPr>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w:t>
            </w:r>
          </w:p>
          <w:p>
            <w:pPr>
              <w:pStyle w:val="TableParagraph"/>
              <w:spacing w:line="217" w:lineRule="exact"/>
              <w:ind w:left="73"/>
              <w:rPr>
                <w:sz w:val="20"/>
              </w:rPr>
            </w:pPr>
            <w:r>
              <w:rPr>
                <w:sz w:val="20"/>
              </w:rPr>
              <w:t>(PETI)</w:t>
            </w:r>
          </w:p>
        </w:tc>
        <w:tc>
          <w:tcPr>
            <w:tcW w:w="992" w:type="dxa"/>
          </w:tcPr>
          <w:p>
            <w:pPr>
              <w:pStyle w:val="TableParagraph"/>
              <w:rPr>
                <w:sz w:val="22"/>
              </w:rPr>
            </w:pPr>
          </w:p>
          <w:p>
            <w:pPr>
              <w:pStyle w:val="TableParagraph"/>
              <w:spacing w:before="5"/>
              <w:rPr>
                <w:sz w:val="17"/>
              </w:rPr>
            </w:pPr>
          </w:p>
          <w:p>
            <w:pPr>
              <w:pStyle w:val="TableParagraph"/>
              <w:ind w:left="73" w:right="41"/>
              <w:rPr>
                <w:sz w:val="20"/>
              </w:rPr>
            </w:pPr>
            <w:r>
              <w:rPr>
                <w:w w:val="95"/>
                <w:sz w:val="20"/>
              </w:rPr>
              <w:t>SEDESC/ COSCOR</w:t>
            </w:r>
          </w:p>
          <w:p>
            <w:pPr>
              <w:pStyle w:val="TableParagraph"/>
              <w:spacing w:line="229" w:lineRule="exact"/>
              <w:ind w:left="73"/>
              <w:rPr>
                <w:sz w:val="20"/>
              </w:rPr>
            </w:pPr>
            <w:r>
              <w:rPr>
                <w:sz w:val="20"/>
              </w:rPr>
              <w:t>/STI</w:t>
            </w:r>
          </w:p>
        </w:tc>
        <w:tc>
          <w:tcPr>
            <w:tcW w:w="1404" w:type="dxa"/>
          </w:tcPr>
          <w:p>
            <w:pPr>
              <w:pStyle w:val="TableParagraph"/>
              <w:rPr>
                <w:sz w:val="18"/>
              </w:rPr>
            </w:pPr>
          </w:p>
        </w:tc>
      </w:tr>
      <w:tr>
        <w:trPr>
          <w:trHeight w:val="5750" w:hRule="atLeast"/>
        </w:trPr>
        <w:tc>
          <w:tcPr>
            <w:tcW w:w="576" w:type="dxa"/>
            <w:tcBorders>
              <w:left w:val="single" w:sz="8" w:space="0" w:color="000000"/>
            </w:tcBorders>
            <w:shd w:val="clear" w:color="auto" w:fill="FF0000"/>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9"/>
              </w:rPr>
            </w:pPr>
          </w:p>
          <w:p>
            <w:pPr>
              <w:pStyle w:val="TableParagraph"/>
              <w:ind w:left="167" w:right="153"/>
              <w:jc w:val="center"/>
              <w:rPr>
                <w:sz w:val="20"/>
              </w:rPr>
            </w:pPr>
            <w:r>
              <w:rPr>
                <w:color w:val="FFFFFF"/>
                <w:sz w:val="20"/>
              </w:rPr>
              <w:t>16</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31"/>
              </w:rPr>
            </w:pPr>
          </w:p>
          <w:p>
            <w:pPr>
              <w:pStyle w:val="TableParagraph"/>
              <w:ind w:left="74" w:right="48"/>
              <w:rPr>
                <w:sz w:val="20"/>
              </w:rPr>
            </w:pPr>
            <w:r>
              <w:rPr>
                <w:sz w:val="20"/>
              </w:rPr>
              <w:t>Links de acesso à internet</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1"/>
              </w:rPr>
            </w:pPr>
          </w:p>
          <w:p>
            <w:pPr>
              <w:pStyle w:val="TableParagraph"/>
              <w:ind w:left="74" w:right="129"/>
              <w:jc w:val="both"/>
              <w:rPr>
                <w:sz w:val="20"/>
              </w:rPr>
            </w:pPr>
            <w:r>
              <w:rPr>
                <w:w w:val="95"/>
                <w:sz w:val="20"/>
              </w:rPr>
              <w:t>SERTEL/C </w:t>
            </w:r>
            <w:r>
              <w:rPr>
                <w:sz w:val="20"/>
              </w:rPr>
              <w:t>OINFRA/S TI</w:t>
            </w:r>
          </w:p>
        </w:tc>
        <w:tc>
          <w:tcPr>
            <w:tcW w:w="212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1"/>
              </w:rPr>
            </w:pPr>
          </w:p>
          <w:p>
            <w:pPr>
              <w:pStyle w:val="TableParagraph"/>
              <w:ind w:left="74" w:right="52"/>
              <w:jc w:val="both"/>
              <w:rPr>
                <w:sz w:val="20"/>
              </w:rPr>
            </w:pPr>
            <w:r>
              <w:rPr>
                <w:sz w:val="20"/>
              </w:rPr>
              <w:t>A implantação de </w:t>
            </w:r>
            <w:r>
              <w:rPr>
                <w:spacing w:val="-3"/>
                <w:sz w:val="20"/>
              </w:rPr>
              <w:t>VPN, </w:t>
            </w:r>
            <w:r>
              <w:rPr>
                <w:sz w:val="20"/>
              </w:rPr>
              <w:t>citada no item </w:t>
            </w:r>
            <w:r>
              <w:rPr>
                <w:spacing w:val="-7"/>
                <w:sz w:val="20"/>
              </w:rPr>
              <w:t>6, </w:t>
            </w:r>
            <w:r>
              <w:rPr>
                <w:sz w:val="20"/>
              </w:rPr>
              <w:t>depende desta</w:t>
            </w:r>
            <w:r>
              <w:rPr>
                <w:spacing w:val="-6"/>
                <w:sz w:val="20"/>
              </w:rPr>
              <w:t> </w:t>
            </w:r>
            <w:r>
              <w:rPr>
                <w:sz w:val="20"/>
              </w:rPr>
              <w:t>aquisição.</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9"/>
              </w:rPr>
            </w:pPr>
          </w:p>
          <w:p>
            <w:pPr>
              <w:pStyle w:val="TableParagraph"/>
              <w:ind w:left="540"/>
              <w:rPr>
                <w:sz w:val="20"/>
              </w:rPr>
            </w:pPr>
            <w:r>
              <w:rPr>
                <w:sz w:val="20"/>
              </w:rPr>
              <w:t>22/1/2014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9"/>
              </w:rPr>
            </w:pPr>
          </w:p>
          <w:p>
            <w:pPr>
              <w:pStyle w:val="TableParagraph"/>
              <w:ind w:left="74"/>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1"/>
              </w:rPr>
            </w:pPr>
          </w:p>
          <w:p>
            <w:pPr>
              <w:pStyle w:val="TableParagraph"/>
              <w:ind w:left="74"/>
              <w:rPr>
                <w:sz w:val="20"/>
              </w:rPr>
            </w:pPr>
            <w:r>
              <w:rPr>
                <w:sz w:val="20"/>
              </w:rPr>
              <w:t>02.122.05</w:t>
            </w:r>
          </w:p>
          <w:p>
            <w:pPr>
              <w:pStyle w:val="TableParagraph"/>
              <w:spacing w:before="1"/>
              <w:ind w:left="74"/>
              <w:rPr>
                <w:sz w:val="20"/>
              </w:rPr>
            </w:pPr>
            <w:r>
              <w:rPr>
                <w:sz w:val="20"/>
              </w:rPr>
              <w:t>70.20GP.</w:t>
            </w:r>
          </w:p>
          <w:p>
            <w:pPr>
              <w:pStyle w:val="TableParagraph"/>
              <w:ind w:left="74"/>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9"/>
              </w:rPr>
            </w:pPr>
          </w:p>
          <w:p>
            <w:pPr>
              <w:pStyle w:val="TableParagraph"/>
              <w:ind w:right="54"/>
              <w:jc w:val="right"/>
              <w:rPr>
                <w:sz w:val="20"/>
              </w:rPr>
            </w:pPr>
            <w:r>
              <w:rPr>
                <w:w w:val="95"/>
                <w:sz w:val="20"/>
              </w:rPr>
              <w:t>120.000,00</w:t>
            </w:r>
          </w:p>
        </w:tc>
        <w:tc>
          <w:tcPr>
            <w:tcW w:w="1560"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17"/>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p>
            <w:pPr>
              <w:pStyle w:val="TableParagraph"/>
              <w:tabs>
                <w:tab w:pos="1157" w:val="left" w:leader="none"/>
              </w:tabs>
              <w:spacing w:line="228" w:lineRule="exact"/>
              <w:ind w:left="73"/>
              <w:rPr>
                <w:sz w:val="20"/>
              </w:rPr>
            </w:pPr>
            <w:r>
              <w:rPr>
                <w:sz w:val="20"/>
              </w:rPr>
              <w:t>Primar</w:t>
              <w:tab/>
              <w:t>pela</w:t>
            </w:r>
          </w:p>
          <w:p>
            <w:pPr>
              <w:pStyle w:val="TableParagraph"/>
              <w:tabs>
                <w:tab w:pos="1292" w:val="left" w:leader="none"/>
              </w:tabs>
              <w:spacing w:before="1"/>
              <w:ind w:left="73" w:right="55"/>
              <w:rPr>
                <w:sz w:val="20"/>
              </w:rPr>
            </w:pPr>
            <w:r>
              <w:rPr>
                <w:sz w:val="20"/>
              </w:rPr>
              <w:t>satisfação</w:t>
              <w:tab/>
            </w:r>
            <w:r>
              <w:rPr>
                <w:spacing w:val="-9"/>
                <w:sz w:val="20"/>
              </w:rPr>
              <w:t>do </w:t>
            </w:r>
            <w:r>
              <w:rPr>
                <w:sz w:val="20"/>
              </w:rPr>
              <w:t>cliente de</w:t>
            </w:r>
            <w:r>
              <w:rPr>
                <w:spacing w:val="-1"/>
                <w:sz w:val="20"/>
              </w:rPr>
              <w:t> </w:t>
            </w:r>
            <w:r>
              <w:rPr>
                <w:sz w:val="20"/>
              </w:rPr>
              <w:t>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4"/>
              <w:rPr>
                <w:sz w:val="21"/>
              </w:rPr>
            </w:pPr>
          </w:p>
          <w:p>
            <w:pPr>
              <w:pStyle w:val="TableParagraph"/>
              <w:ind w:left="73" w:right="119"/>
              <w:jc w:val="both"/>
              <w:rPr>
                <w:sz w:val="20"/>
              </w:rPr>
            </w:pPr>
            <w:r>
              <w:rPr>
                <w:w w:val="95"/>
                <w:sz w:val="20"/>
              </w:rPr>
              <w:t>SERTEL/ </w:t>
            </w:r>
            <w:r>
              <w:rPr>
                <w:sz w:val="20"/>
              </w:rPr>
              <w:t>COINFR A/STI</w:t>
            </w:r>
          </w:p>
        </w:tc>
        <w:tc>
          <w:tcPr>
            <w:tcW w:w="1404" w:type="dxa"/>
          </w:tcPr>
          <w:p>
            <w:pPr>
              <w:pStyle w:val="TableParagraph"/>
              <w:ind w:left="75" w:right="45"/>
              <w:rPr>
                <w:sz w:val="20"/>
              </w:rPr>
            </w:pPr>
            <w:r>
              <w:rPr>
                <w:sz w:val="20"/>
              </w:rPr>
              <w:t>PROCESSO </w:t>
            </w:r>
            <w:r>
              <w:rPr>
                <w:spacing w:val="-3"/>
                <w:sz w:val="20"/>
              </w:rPr>
              <w:t>CANCELADO.</w:t>
            </w:r>
          </w:p>
          <w:p>
            <w:pPr>
              <w:pStyle w:val="TableParagraph"/>
              <w:ind w:left="75" w:right="50"/>
              <w:jc w:val="both"/>
              <w:rPr>
                <w:sz w:val="20"/>
              </w:rPr>
            </w:pPr>
            <w:r>
              <w:rPr>
                <w:sz w:val="20"/>
              </w:rPr>
              <w:t>A </w:t>
            </w:r>
            <w:r>
              <w:rPr>
                <w:spacing w:val="-2"/>
                <w:sz w:val="20"/>
              </w:rPr>
              <w:t>aquisição </w:t>
            </w:r>
            <w:r>
              <w:rPr>
                <w:spacing w:val="-6"/>
                <w:sz w:val="20"/>
              </w:rPr>
              <w:t>foi </w:t>
            </w:r>
            <w:r>
              <w:rPr>
                <w:spacing w:val="-3"/>
                <w:sz w:val="20"/>
              </w:rPr>
              <w:t>incluída </w:t>
            </w:r>
            <w:r>
              <w:rPr>
                <w:sz w:val="20"/>
              </w:rPr>
              <w:t>no </w:t>
            </w:r>
            <w:r>
              <w:rPr>
                <w:spacing w:val="-3"/>
                <w:sz w:val="20"/>
              </w:rPr>
              <w:t>plano </w:t>
            </w:r>
            <w:r>
              <w:rPr>
                <w:sz w:val="20"/>
              </w:rPr>
              <w:t>de </w:t>
            </w:r>
            <w:r>
              <w:rPr>
                <w:spacing w:val="-5"/>
                <w:sz w:val="20"/>
              </w:rPr>
              <w:t>2014 </w:t>
            </w:r>
            <w:r>
              <w:rPr>
                <w:sz w:val="20"/>
              </w:rPr>
              <w:t>por </w:t>
            </w:r>
            <w:r>
              <w:rPr>
                <w:spacing w:val="-3"/>
                <w:sz w:val="20"/>
              </w:rPr>
              <w:t>conta </w:t>
            </w:r>
            <w:r>
              <w:rPr>
                <w:spacing w:val="-7"/>
                <w:sz w:val="20"/>
              </w:rPr>
              <w:t>da </w:t>
            </w:r>
            <w:r>
              <w:rPr>
                <w:spacing w:val="-3"/>
                <w:sz w:val="20"/>
              </w:rPr>
              <w:t>possibilidade </w:t>
            </w:r>
            <w:r>
              <w:rPr>
                <w:sz w:val="20"/>
              </w:rPr>
              <w:t>de fracasso       </w:t>
            </w:r>
            <w:r>
              <w:rPr>
                <w:spacing w:val="11"/>
                <w:sz w:val="20"/>
              </w:rPr>
              <w:t> </w:t>
            </w:r>
            <w:r>
              <w:rPr>
                <w:spacing w:val="-9"/>
                <w:sz w:val="20"/>
              </w:rPr>
              <w:t>do</w:t>
            </w:r>
          </w:p>
          <w:p>
            <w:pPr>
              <w:pStyle w:val="TableParagraph"/>
              <w:tabs>
                <w:tab w:pos="490" w:val="left" w:leader="none"/>
                <w:tab w:pos="723" w:val="left" w:leader="none"/>
                <w:tab w:pos="826" w:val="left" w:leader="none"/>
                <w:tab w:pos="1001" w:val="left" w:leader="none"/>
                <w:tab w:pos="1124" w:val="left" w:leader="none"/>
              </w:tabs>
              <w:ind w:left="75" w:right="49"/>
              <w:rPr>
                <w:sz w:val="20"/>
              </w:rPr>
            </w:pPr>
            <w:r>
              <w:rPr>
                <w:spacing w:val="-3"/>
                <w:sz w:val="20"/>
              </w:rPr>
              <w:t>processo</w:t>
              <w:tab/>
              <w:tab/>
              <w:tab/>
            </w:r>
            <w:r>
              <w:rPr>
                <w:spacing w:val="-8"/>
                <w:sz w:val="20"/>
              </w:rPr>
              <w:t>de </w:t>
            </w:r>
            <w:r>
              <w:rPr>
                <w:sz w:val="20"/>
              </w:rPr>
              <w:t>2013. </w:t>
            </w:r>
            <w:r>
              <w:rPr>
                <w:spacing w:val="-3"/>
                <w:sz w:val="20"/>
              </w:rPr>
              <w:t>Contudo, </w:t>
            </w:r>
            <w:r>
              <w:rPr>
                <w:sz w:val="20"/>
              </w:rPr>
              <w:t>o</w:t>
              <w:tab/>
              <w:tab/>
            </w:r>
            <w:r>
              <w:rPr>
                <w:spacing w:val="-5"/>
                <w:sz w:val="20"/>
              </w:rPr>
              <w:t>referido </w:t>
            </w:r>
            <w:r>
              <w:rPr>
                <w:spacing w:val="-3"/>
                <w:sz w:val="20"/>
              </w:rPr>
              <w:t>processo</w:t>
              <w:tab/>
              <w:tab/>
              <w:tab/>
            </w:r>
            <w:r>
              <w:rPr>
                <w:spacing w:val="-7"/>
                <w:sz w:val="20"/>
              </w:rPr>
              <w:t>foi </w:t>
            </w:r>
            <w:r>
              <w:rPr>
                <w:sz w:val="20"/>
              </w:rPr>
              <w:t>pré-empenhado em 20/01/2014 e</w:t>
              <w:tab/>
            </w:r>
            <w:r>
              <w:rPr>
                <w:spacing w:val="-4"/>
                <w:sz w:val="20"/>
              </w:rPr>
              <w:t>permanece </w:t>
            </w:r>
            <w:r>
              <w:rPr>
                <w:spacing w:val="-3"/>
                <w:sz w:val="20"/>
              </w:rPr>
              <w:t>tramitando, </w:t>
            </w:r>
            <w:r>
              <w:rPr>
                <w:sz w:val="20"/>
              </w:rPr>
              <w:t>agora com </w:t>
            </w:r>
            <w:r>
              <w:rPr>
                <w:spacing w:val="-12"/>
                <w:sz w:val="20"/>
              </w:rPr>
              <w:t>a </w:t>
            </w:r>
            <w:r>
              <w:rPr>
                <w:spacing w:val="-3"/>
                <w:sz w:val="20"/>
              </w:rPr>
              <w:t>perspectiva </w:t>
            </w:r>
            <w:r>
              <w:rPr>
                <w:sz w:val="20"/>
              </w:rPr>
              <w:t>de </w:t>
            </w:r>
            <w:r>
              <w:rPr>
                <w:spacing w:val="-2"/>
                <w:sz w:val="20"/>
              </w:rPr>
              <w:t>ser</w:t>
              <w:tab/>
            </w:r>
            <w:r>
              <w:rPr>
                <w:spacing w:val="-3"/>
                <w:sz w:val="20"/>
              </w:rPr>
              <w:t>contratato. </w:t>
            </w:r>
            <w:r>
              <w:rPr>
                <w:spacing w:val="-2"/>
                <w:sz w:val="20"/>
              </w:rPr>
              <w:t>Assim.</w:t>
              <w:tab/>
              <w:tab/>
            </w:r>
            <w:r>
              <w:rPr>
                <w:spacing w:val="-5"/>
                <w:sz w:val="20"/>
              </w:rPr>
              <w:t>optou- </w:t>
            </w:r>
            <w:r>
              <w:rPr>
                <w:sz w:val="20"/>
              </w:rPr>
              <w:t>se</w:t>
              <w:tab/>
              <w:tab/>
              <w:tab/>
              <w:tab/>
            </w:r>
            <w:r>
              <w:rPr>
                <w:spacing w:val="-5"/>
                <w:sz w:val="20"/>
              </w:rPr>
              <w:t>pelo</w:t>
            </w:r>
          </w:p>
          <w:p>
            <w:pPr>
              <w:pStyle w:val="TableParagraph"/>
              <w:spacing w:line="230" w:lineRule="exact"/>
              <w:ind w:left="75" w:right="52"/>
              <w:rPr>
                <w:sz w:val="20"/>
              </w:rPr>
            </w:pPr>
            <w:r>
              <w:rPr>
                <w:sz w:val="20"/>
              </w:rPr>
              <w:t>cancelamento da </w:t>
            </w:r>
            <w:r>
              <w:rPr>
                <w:spacing w:val="-4"/>
                <w:sz w:val="20"/>
              </w:rPr>
              <w:t>contratação </w:t>
            </w:r>
            <w:r>
              <w:rPr>
                <w:spacing w:val="-3"/>
                <w:sz w:val="20"/>
              </w:rPr>
              <w:t>prevista </w:t>
            </w:r>
            <w:r>
              <w:rPr>
                <w:sz w:val="20"/>
              </w:rPr>
              <w:t>para </w:t>
            </w:r>
            <w:r>
              <w:rPr>
                <w:spacing w:val="-11"/>
                <w:sz w:val="20"/>
              </w:rPr>
              <w:t>o </w:t>
            </w:r>
            <w:r>
              <w:rPr>
                <w:w w:val="95"/>
                <w:sz w:val="20"/>
              </w:rPr>
              <w:t>dia</w:t>
            </w:r>
            <w:r>
              <w:rPr>
                <w:spacing w:val="26"/>
                <w:w w:val="95"/>
                <w:sz w:val="20"/>
              </w:rPr>
              <w:t> </w:t>
            </w:r>
            <w:r>
              <w:rPr>
                <w:w w:val="95"/>
                <w:sz w:val="20"/>
              </w:rPr>
              <w:t>05/02/2014.</w:t>
            </w:r>
          </w:p>
        </w:tc>
      </w:tr>
    </w:tbl>
    <w:p>
      <w:pPr>
        <w:spacing w:after="0" w:line="230" w:lineRule="exact"/>
        <w:rPr>
          <w:sz w:val="20"/>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4"/>
        <w:gridCol w:w="1135"/>
        <w:gridCol w:w="1419"/>
        <w:gridCol w:w="1275"/>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4"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4" w:type="dxa"/>
            <w:gridSpan w:val="2"/>
            <w:shd w:val="clear" w:color="auto" w:fill="C0C0C0"/>
          </w:tcPr>
          <w:p>
            <w:pPr>
              <w:pStyle w:val="TableParagraph"/>
              <w:spacing w:before="45"/>
              <w:ind w:left="353"/>
              <w:rPr>
                <w:b/>
                <w:sz w:val="18"/>
              </w:rPr>
            </w:pPr>
            <w:r>
              <w:rPr>
                <w:b/>
                <w:sz w:val="18"/>
              </w:rPr>
              <w:t>PRAZO DE ENTREGA</w:t>
            </w:r>
          </w:p>
        </w:tc>
        <w:tc>
          <w:tcPr>
            <w:tcW w:w="1275" w:type="dxa"/>
            <w:vMerge w:val="restart"/>
            <w:shd w:val="clear" w:color="auto" w:fill="C0C0C0"/>
          </w:tcPr>
          <w:p>
            <w:pPr>
              <w:pStyle w:val="TableParagraph"/>
              <w:rPr>
                <w:sz w:val="20"/>
              </w:rPr>
            </w:pPr>
          </w:p>
          <w:p>
            <w:pPr>
              <w:pStyle w:val="TableParagraph"/>
              <w:spacing w:before="132"/>
              <w:ind w:left="117" w:right="27"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1" w:right="57"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1" w:right="56"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90" w:right="72"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3" w:right="41"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2"/>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4" w:type="dxa"/>
            <w:vMerge/>
            <w:tcBorders>
              <w:top w:val="nil"/>
            </w:tcBorders>
            <w:shd w:val="clear" w:color="auto" w:fill="C0C0C0"/>
          </w:tcPr>
          <w:p>
            <w:pPr>
              <w:rPr>
                <w:sz w:val="2"/>
                <w:szCs w:val="2"/>
              </w:rPr>
            </w:pPr>
          </w:p>
        </w:tc>
        <w:tc>
          <w:tcPr>
            <w:tcW w:w="1135" w:type="dxa"/>
            <w:shd w:val="clear" w:color="auto" w:fill="C0C0C0"/>
          </w:tcPr>
          <w:p>
            <w:pPr>
              <w:pStyle w:val="TableParagraph"/>
              <w:spacing w:before="10"/>
              <w:rPr>
                <w:sz w:val="17"/>
              </w:rPr>
            </w:pPr>
          </w:p>
          <w:p>
            <w:pPr>
              <w:pStyle w:val="TableParagraph"/>
              <w:ind w:left="89" w:right="23" w:firstLine="64"/>
              <w:rPr>
                <w:b/>
                <w:sz w:val="18"/>
              </w:rPr>
            </w:pPr>
            <w:r>
              <w:rPr>
                <w:b/>
                <w:sz w:val="18"/>
              </w:rPr>
              <w:t>ESTUDOS </w:t>
            </w:r>
            <w:r>
              <w:rPr>
                <w:b/>
                <w:spacing w:val="-34"/>
                <w:sz w:val="18"/>
              </w:rPr>
              <w:t>PRELIMINARES</w:t>
            </w:r>
          </w:p>
        </w:tc>
        <w:tc>
          <w:tcPr>
            <w:tcW w:w="1419" w:type="dxa"/>
            <w:shd w:val="clear" w:color="auto" w:fill="C0C0C0"/>
          </w:tcPr>
          <w:p>
            <w:pPr>
              <w:pStyle w:val="TableParagraph"/>
              <w:ind w:left="118" w:right="100" w:hanging="1"/>
              <w:jc w:val="center"/>
              <w:rPr>
                <w:b/>
                <w:sz w:val="18"/>
              </w:rPr>
            </w:pPr>
            <w:r>
              <w:rPr>
                <w:b/>
                <w:sz w:val="18"/>
              </w:rPr>
              <w:t>TERMO DE REFERÊNCIA OU PROJETO</w:t>
            </w:r>
          </w:p>
          <w:p>
            <w:pPr>
              <w:pStyle w:val="TableParagraph"/>
              <w:spacing w:line="186" w:lineRule="exact"/>
              <w:ind w:left="237" w:right="219"/>
              <w:jc w:val="center"/>
              <w:rPr>
                <w:b/>
                <w:sz w:val="18"/>
              </w:rPr>
            </w:pPr>
            <w:r>
              <w:rPr>
                <w:b/>
                <w:sz w:val="18"/>
              </w:rPr>
              <w:t>BÁSICO</w:t>
            </w:r>
          </w:p>
        </w:tc>
        <w:tc>
          <w:tcPr>
            <w:tcW w:w="1275"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2894" w:hRule="atLeast"/>
        </w:trPr>
        <w:tc>
          <w:tcPr>
            <w:tcW w:w="576" w:type="dxa"/>
            <w:tcBorders>
              <w:left w:val="single" w:sz="8" w:space="0" w:color="000000"/>
            </w:tcBorders>
            <w:shd w:val="clear" w:color="auto" w:fill="FF0000"/>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3"/>
              <w:rPr>
                <w:sz w:val="27"/>
              </w:rPr>
            </w:pPr>
          </w:p>
          <w:p>
            <w:pPr>
              <w:pStyle w:val="TableParagraph"/>
              <w:ind w:left="167" w:right="153"/>
              <w:jc w:val="center"/>
              <w:rPr>
                <w:sz w:val="20"/>
              </w:rPr>
            </w:pPr>
            <w:r>
              <w:rPr>
                <w:color w:val="FFFFFF"/>
                <w:sz w:val="20"/>
              </w:rPr>
              <w:t>17</w:t>
            </w: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3"/>
              <w:rPr>
                <w:sz w:val="17"/>
              </w:rPr>
            </w:pPr>
          </w:p>
          <w:p>
            <w:pPr>
              <w:pStyle w:val="TableParagraph"/>
              <w:tabs>
                <w:tab w:pos="1160" w:val="left" w:leader="none"/>
              </w:tabs>
              <w:ind w:left="74" w:right="57"/>
              <w:rPr>
                <w:sz w:val="20"/>
              </w:rPr>
            </w:pPr>
            <w:r>
              <w:rPr>
                <w:sz w:val="20"/>
              </w:rPr>
              <w:t>Links</w:t>
              <w:tab/>
            </w:r>
            <w:r>
              <w:rPr>
                <w:spacing w:val="-9"/>
                <w:sz w:val="20"/>
              </w:rPr>
              <w:t>de </w:t>
            </w:r>
            <w:r>
              <w:rPr>
                <w:sz w:val="20"/>
              </w:rPr>
              <w:t>comunicação</w:t>
            </w:r>
          </w:p>
        </w:tc>
        <w:tc>
          <w:tcPr>
            <w:tcW w:w="1135" w:type="dxa"/>
          </w:tcPr>
          <w:p>
            <w:pPr>
              <w:pStyle w:val="TableParagraph"/>
              <w:rPr>
                <w:sz w:val="22"/>
              </w:rPr>
            </w:pPr>
          </w:p>
          <w:p>
            <w:pPr>
              <w:pStyle w:val="TableParagraph"/>
              <w:rPr>
                <w:sz w:val="22"/>
              </w:rPr>
            </w:pPr>
          </w:p>
          <w:p>
            <w:pPr>
              <w:pStyle w:val="TableParagraph"/>
              <w:rPr>
                <w:sz w:val="22"/>
              </w:rPr>
            </w:pPr>
          </w:p>
          <w:p>
            <w:pPr>
              <w:pStyle w:val="TableParagraph"/>
              <w:spacing w:before="2"/>
              <w:rPr>
                <w:sz w:val="29"/>
              </w:rPr>
            </w:pPr>
          </w:p>
          <w:p>
            <w:pPr>
              <w:pStyle w:val="TableParagraph"/>
              <w:spacing w:before="1"/>
              <w:ind w:left="74" w:right="129"/>
              <w:jc w:val="both"/>
              <w:rPr>
                <w:sz w:val="20"/>
              </w:rPr>
            </w:pPr>
            <w:r>
              <w:rPr>
                <w:w w:val="95"/>
                <w:sz w:val="20"/>
              </w:rPr>
              <w:t>SERTEL/C </w:t>
            </w:r>
            <w:r>
              <w:rPr>
                <w:sz w:val="20"/>
              </w:rPr>
              <w:t>OINFRA/S TI</w:t>
            </w:r>
          </w:p>
        </w:tc>
        <w:tc>
          <w:tcPr>
            <w:tcW w:w="2124" w:type="dxa"/>
          </w:tcPr>
          <w:p>
            <w:pPr>
              <w:pStyle w:val="TableParagraph"/>
              <w:spacing w:before="175"/>
              <w:ind w:left="74" w:right="50"/>
              <w:jc w:val="both"/>
              <w:rPr>
                <w:sz w:val="20"/>
              </w:rPr>
            </w:pPr>
            <w:r>
              <w:rPr>
                <w:sz w:val="20"/>
              </w:rPr>
              <w:t>A implantação de VPN, citada no item </w:t>
            </w:r>
            <w:r>
              <w:rPr>
                <w:spacing w:val="-6"/>
                <w:sz w:val="20"/>
              </w:rPr>
              <w:t>6, </w:t>
            </w:r>
            <w:r>
              <w:rPr>
                <w:sz w:val="20"/>
              </w:rPr>
              <w:t>depende desta </w:t>
            </w:r>
            <w:r>
              <w:rPr>
                <w:spacing w:val="-3"/>
                <w:sz w:val="20"/>
              </w:rPr>
              <w:t>aquisição. </w:t>
            </w:r>
            <w:r>
              <w:rPr>
                <w:sz w:val="20"/>
              </w:rPr>
              <w:t>A aquisição do item 6 </w:t>
            </w:r>
            <w:r>
              <w:rPr>
                <w:spacing w:val="-14"/>
                <w:sz w:val="20"/>
              </w:rPr>
              <w:t>e </w:t>
            </w:r>
            <w:r>
              <w:rPr>
                <w:sz w:val="20"/>
              </w:rPr>
              <w:t>a contratação </w:t>
            </w:r>
            <w:r>
              <w:rPr>
                <w:spacing w:val="-4"/>
                <w:sz w:val="20"/>
              </w:rPr>
              <w:t>dos </w:t>
            </w:r>
            <w:r>
              <w:rPr>
                <w:sz w:val="20"/>
              </w:rPr>
              <w:t>serviços dos itens 16</w:t>
            </w:r>
            <w:r>
              <w:rPr>
                <w:spacing w:val="29"/>
                <w:sz w:val="20"/>
              </w:rPr>
              <w:t> </w:t>
            </w:r>
            <w:r>
              <w:rPr>
                <w:sz w:val="20"/>
              </w:rPr>
              <w:t>a</w:t>
            </w:r>
          </w:p>
          <w:p>
            <w:pPr>
              <w:pStyle w:val="TableParagraph"/>
              <w:spacing w:before="1"/>
              <w:ind w:left="74" w:right="53"/>
              <w:jc w:val="both"/>
              <w:rPr>
                <w:sz w:val="20"/>
              </w:rPr>
            </w:pPr>
            <w:r>
              <w:rPr>
                <w:sz w:val="20"/>
              </w:rPr>
              <w:t>19 visam substituir o atual contrato do backbone secundário, que entrará em seu último ano de vigência.</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3"/>
              <w:rPr>
                <w:sz w:val="27"/>
              </w:rPr>
            </w:pPr>
          </w:p>
          <w:p>
            <w:pPr>
              <w:pStyle w:val="TableParagraph"/>
              <w:ind w:right="54"/>
              <w:jc w:val="right"/>
              <w:rPr>
                <w:sz w:val="20"/>
              </w:rPr>
            </w:pPr>
            <w:r>
              <w:rPr>
                <w:w w:val="95"/>
                <w:sz w:val="20"/>
              </w:rPr>
              <w:t>5/2/2014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3"/>
              <w:rPr>
                <w:sz w:val="27"/>
              </w:rPr>
            </w:pPr>
          </w:p>
          <w:p>
            <w:pPr>
              <w:pStyle w:val="TableParagraph"/>
              <w:ind w:left="74"/>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spacing w:before="2"/>
              <w:rPr>
                <w:sz w:val="29"/>
              </w:rPr>
            </w:pPr>
          </w:p>
          <w:p>
            <w:pPr>
              <w:pStyle w:val="TableParagraph"/>
              <w:spacing w:before="1"/>
              <w:ind w:left="74"/>
              <w:rPr>
                <w:sz w:val="20"/>
              </w:rPr>
            </w:pPr>
            <w:r>
              <w:rPr>
                <w:sz w:val="20"/>
              </w:rPr>
              <w:t>02.122.05</w:t>
            </w:r>
          </w:p>
          <w:p>
            <w:pPr>
              <w:pStyle w:val="TableParagraph"/>
              <w:ind w:left="74"/>
              <w:rPr>
                <w:sz w:val="20"/>
              </w:rPr>
            </w:pPr>
            <w:r>
              <w:rPr>
                <w:sz w:val="20"/>
              </w:rPr>
              <w:t>70.20GP.</w:t>
            </w:r>
          </w:p>
          <w:p>
            <w:pPr>
              <w:pStyle w:val="TableParagraph"/>
              <w:ind w:left="74"/>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3"/>
              <w:rPr>
                <w:sz w:val="27"/>
              </w:rPr>
            </w:pPr>
          </w:p>
          <w:p>
            <w:pPr>
              <w:pStyle w:val="TableParagraph"/>
              <w:ind w:right="54"/>
              <w:jc w:val="right"/>
              <w:rPr>
                <w:sz w:val="20"/>
              </w:rPr>
            </w:pPr>
            <w:r>
              <w:rPr>
                <w:w w:val="95"/>
                <w:sz w:val="20"/>
              </w:rPr>
              <w:t>5.500.000,00</w:t>
            </w:r>
          </w:p>
        </w:tc>
        <w:tc>
          <w:tcPr>
            <w:tcW w:w="1560" w:type="dxa"/>
          </w:tcPr>
          <w:p>
            <w:pPr>
              <w:pStyle w:val="TableParagraph"/>
              <w:spacing w:before="3"/>
              <w:rPr>
                <w:sz w:val="25"/>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p>
            <w:pPr>
              <w:pStyle w:val="TableParagraph"/>
              <w:tabs>
                <w:tab w:pos="1157" w:val="left" w:leader="none"/>
              </w:tabs>
              <w:spacing w:before="1"/>
              <w:ind w:left="73"/>
              <w:rPr>
                <w:sz w:val="20"/>
              </w:rPr>
            </w:pPr>
            <w:r>
              <w:rPr>
                <w:sz w:val="20"/>
              </w:rPr>
              <w:t>Primar</w:t>
              <w:tab/>
              <w:t>pela</w:t>
            </w:r>
          </w:p>
          <w:p>
            <w:pPr>
              <w:pStyle w:val="TableParagraph"/>
              <w:tabs>
                <w:tab w:pos="1292" w:val="left" w:leader="none"/>
              </w:tabs>
              <w:ind w:left="73" w:right="55"/>
              <w:rPr>
                <w:sz w:val="20"/>
              </w:rPr>
            </w:pPr>
            <w:r>
              <w:rPr>
                <w:sz w:val="20"/>
              </w:rPr>
              <w:t>satisfação</w:t>
              <w:tab/>
            </w:r>
            <w:r>
              <w:rPr>
                <w:spacing w:val="-9"/>
                <w:sz w:val="20"/>
              </w:rPr>
              <w:t>do </w:t>
            </w:r>
            <w:r>
              <w:rPr>
                <w:sz w:val="20"/>
              </w:rPr>
              <w:t>cliente de</w:t>
            </w:r>
            <w:r>
              <w:rPr>
                <w:spacing w:val="-1"/>
                <w:sz w:val="20"/>
              </w:rPr>
              <w:t> </w:t>
            </w:r>
            <w:r>
              <w:rPr>
                <w:sz w:val="20"/>
              </w:rPr>
              <w:t>TI.</w:t>
            </w:r>
          </w:p>
        </w:tc>
        <w:tc>
          <w:tcPr>
            <w:tcW w:w="992" w:type="dxa"/>
          </w:tcPr>
          <w:p>
            <w:pPr>
              <w:pStyle w:val="TableParagraph"/>
              <w:rPr>
                <w:sz w:val="22"/>
              </w:rPr>
            </w:pPr>
          </w:p>
          <w:p>
            <w:pPr>
              <w:pStyle w:val="TableParagraph"/>
              <w:rPr>
                <w:sz w:val="22"/>
              </w:rPr>
            </w:pPr>
          </w:p>
          <w:p>
            <w:pPr>
              <w:pStyle w:val="TableParagraph"/>
              <w:rPr>
                <w:sz w:val="22"/>
              </w:rPr>
            </w:pPr>
          </w:p>
          <w:p>
            <w:pPr>
              <w:pStyle w:val="TableParagraph"/>
              <w:spacing w:before="2"/>
              <w:rPr>
                <w:sz w:val="29"/>
              </w:rPr>
            </w:pPr>
          </w:p>
          <w:p>
            <w:pPr>
              <w:pStyle w:val="TableParagraph"/>
              <w:spacing w:before="1"/>
              <w:ind w:left="73" w:right="119"/>
              <w:jc w:val="both"/>
              <w:rPr>
                <w:sz w:val="20"/>
              </w:rPr>
            </w:pPr>
            <w:r>
              <w:rPr>
                <w:w w:val="95"/>
                <w:sz w:val="20"/>
              </w:rPr>
              <w:t>SERTEL/ </w:t>
            </w:r>
            <w:r>
              <w:rPr>
                <w:sz w:val="20"/>
              </w:rPr>
              <w:t>COINFR A/STI</w:t>
            </w:r>
          </w:p>
        </w:tc>
        <w:tc>
          <w:tcPr>
            <w:tcW w:w="1404" w:type="dxa"/>
          </w:tcPr>
          <w:p>
            <w:pPr>
              <w:pStyle w:val="TableParagraph"/>
              <w:rPr>
                <w:sz w:val="18"/>
              </w:rPr>
            </w:pPr>
          </w:p>
        </w:tc>
      </w:tr>
      <w:tr>
        <w:trPr>
          <w:trHeight w:val="2990" w:hRule="atLeast"/>
        </w:trPr>
        <w:tc>
          <w:tcPr>
            <w:tcW w:w="576" w:type="dxa"/>
            <w:tcBorders>
              <w:left w:val="single" w:sz="8" w:space="0" w:color="000000"/>
            </w:tcBorders>
            <w:shd w:val="clear" w:color="auto" w:fill="FF0000"/>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31"/>
              </w:rPr>
            </w:pPr>
          </w:p>
          <w:p>
            <w:pPr>
              <w:pStyle w:val="TableParagraph"/>
              <w:ind w:left="167" w:right="153"/>
              <w:jc w:val="center"/>
              <w:rPr>
                <w:sz w:val="20"/>
              </w:rPr>
            </w:pPr>
            <w:r>
              <w:rPr>
                <w:color w:val="FFFFFF"/>
                <w:sz w:val="20"/>
              </w:rPr>
              <w:t>18</w:t>
            </w:r>
          </w:p>
        </w:tc>
        <w:tc>
          <w:tcPr>
            <w:tcW w:w="1419" w:type="dxa"/>
          </w:tcPr>
          <w:p>
            <w:pPr>
              <w:pStyle w:val="TableParagraph"/>
              <w:rPr>
                <w:sz w:val="22"/>
              </w:rPr>
            </w:pPr>
          </w:p>
          <w:p>
            <w:pPr>
              <w:pStyle w:val="TableParagraph"/>
              <w:rPr>
                <w:sz w:val="22"/>
              </w:rPr>
            </w:pPr>
          </w:p>
          <w:p>
            <w:pPr>
              <w:pStyle w:val="TableParagraph"/>
              <w:rPr>
                <w:sz w:val="22"/>
              </w:rPr>
            </w:pPr>
          </w:p>
          <w:p>
            <w:pPr>
              <w:pStyle w:val="TableParagraph"/>
              <w:spacing w:before="6"/>
              <w:rPr>
                <w:sz w:val="23"/>
              </w:rPr>
            </w:pPr>
          </w:p>
          <w:p>
            <w:pPr>
              <w:pStyle w:val="TableParagraph"/>
              <w:tabs>
                <w:tab w:pos="1072" w:val="left" w:leader="none"/>
              </w:tabs>
              <w:spacing w:line="229" w:lineRule="exact" w:before="1"/>
              <w:ind w:left="74"/>
              <w:rPr>
                <w:sz w:val="20"/>
              </w:rPr>
            </w:pPr>
            <w:r>
              <w:rPr>
                <w:sz w:val="20"/>
              </w:rPr>
              <w:t>Gestão</w:t>
              <w:tab/>
              <w:t>dos</w:t>
            </w:r>
          </w:p>
          <w:p>
            <w:pPr>
              <w:pStyle w:val="TableParagraph"/>
              <w:tabs>
                <w:tab w:pos="1160" w:val="left" w:leader="none"/>
              </w:tabs>
              <w:spacing w:line="229" w:lineRule="exact"/>
              <w:ind w:left="74"/>
              <w:rPr>
                <w:sz w:val="20"/>
              </w:rPr>
            </w:pPr>
            <w:r>
              <w:rPr>
                <w:sz w:val="20"/>
              </w:rPr>
              <w:t>contratos</w:t>
              <w:tab/>
              <w:t>de</w:t>
            </w:r>
          </w:p>
          <w:p>
            <w:pPr>
              <w:pStyle w:val="TableParagraph"/>
              <w:tabs>
                <w:tab w:pos="1160" w:val="left" w:leader="none"/>
              </w:tabs>
              <w:ind w:left="74"/>
              <w:rPr>
                <w:sz w:val="20"/>
              </w:rPr>
            </w:pPr>
            <w:r>
              <w:rPr>
                <w:sz w:val="20"/>
              </w:rPr>
              <w:t>links</w:t>
              <w:tab/>
              <w:t>de</w:t>
            </w:r>
          </w:p>
          <w:p>
            <w:pPr>
              <w:pStyle w:val="TableParagraph"/>
              <w:ind w:left="74"/>
              <w:rPr>
                <w:sz w:val="20"/>
              </w:rPr>
            </w:pPr>
            <w:r>
              <w:rPr>
                <w:sz w:val="20"/>
              </w:rPr>
              <w:t>comunicação</w:t>
            </w:r>
          </w:p>
        </w:tc>
        <w:tc>
          <w:tcPr>
            <w:tcW w:w="113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33"/>
              <w:ind w:left="74" w:right="129"/>
              <w:jc w:val="both"/>
              <w:rPr>
                <w:sz w:val="20"/>
              </w:rPr>
            </w:pPr>
            <w:r>
              <w:rPr>
                <w:w w:val="95"/>
                <w:sz w:val="20"/>
              </w:rPr>
              <w:t>SERTEL/C </w:t>
            </w:r>
            <w:r>
              <w:rPr>
                <w:sz w:val="20"/>
              </w:rPr>
              <w:t>OINFRA/S TI</w:t>
            </w:r>
          </w:p>
        </w:tc>
        <w:tc>
          <w:tcPr>
            <w:tcW w:w="2124" w:type="dxa"/>
          </w:tcPr>
          <w:p>
            <w:pPr>
              <w:pStyle w:val="TableParagraph"/>
              <w:rPr>
                <w:sz w:val="22"/>
              </w:rPr>
            </w:pPr>
          </w:p>
          <w:p>
            <w:pPr>
              <w:pStyle w:val="TableParagraph"/>
              <w:rPr>
                <w:sz w:val="22"/>
              </w:rPr>
            </w:pPr>
          </w:p>
          <w:p>
            <w:pPr>
              <w:pStyle w:val="TableParagraph"/>
              <w:rPr>
                <w:sz w:val="22"/>
              </w:rPr>
            </w:pPr>
          </w:p>
          <w:p>
            <w:pPr>
              <w:pStyle w:val="TableParagraph"/>
              <w:spacing w:before="6"/>
              <w:rPr>
                <w:sz w:val="23"/>
              </w:rPr>
            </w:pPr>
          </w:p>
          <w:p>
            <w:pPr>
              <w:pStyle w:val="TableParagraph"/>
              <w:spacing w:before="1"/>
              <w:ind w:left="74" w:right="55"/>
              <w:jc w:val="both"/>
              <w:rPr>
                <w:sz w:val="20"/>
              </w:rPr>
            </w:pPr>
            <w:r>
              <w:rPr>
                <w:sz w:val="20"/>
              </w:rPr>
              <w:t>Contratação de serviço de gestão dos links de comunicação de acesso remoto do item 17.</w:t>
            </w:r>
          </w:p>
        </w:tc>
        <w:tc>
          <w:tcPr>
            <w:tcW w:w="1135" w:type="dxa"/>
          </w:tcPr>
          <w:p>
            <w:pPr>
              <w:pStyle w:val="TableParagraph"/>
              <w:rPr>
                <w:sz w:val="18"/>
              </w:rPr>
            </w:pPr>
          </w:p>
        </w:tc>
        <w:tc>
          <w:tcPr>
            <w:tcW w:w="1419"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31"/>
              </w:rPr>
            </w:pPr>
          </w:p>
          <w:p>
            <w:pPr>
              <w:pStyle w:val="TableParagraph"/>
              <w:ind w:right="55"/>
              <w:jc w:val="right"/>
              <w:rPr>
                <w:sz w:val="20"/>
              </w:rPr>
            </w:pPr>
            <w:r>
              <w:rPr>
                <w:w w:val="95"/>
                <w:sz w:val="20"/>
              </w:rPr>
              <w:t>12/2/2014</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31"/>
              </w:rPr>
            </w:pPr>
          </w:p>
          <w:p>
            <w:pPr>
              <w:pStyle w:val="TableParagraph"/>
              <w:ind w:left="74"/>
              <w:rPr>
                <w:sz w:val="20"/>
              </w:rPr>
            </w:pPr>
            <w:r>
              <w:rPr>
                <w:sz w:val="20"/>
              </w:rPr>
              <w:t>Serviços</w:t>
            </w:r>
          </w:p>
        </w:tc>
        <w:tc>
          <w:tcPr>
            <w:tcW w:w="994"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line="229" w:lineRule="exact" w:before="133"/>
              <w:ind w:left="74"/>
              <w:rPr>
                <w:sz w:val="20"/>
              </w:rPr>
            </w:pPr>
            <w:r>
              <w:rPr>
                <w:sz w:val="20"/>
              </w:rPr>
              <w:t>02.122.05</w:t>
            </w:r>
          </w:p>
          <w:p>
            <w:pPr>
              <w:pStyle w:val="TableParagraph"/>
              <w:spacing w:line="229" w:lineRule="exact"/>
              <w:ind w:left="74"/>
              <w:rPr>
                <w:sz w:val="20"/>
              </w:rPr>
            </w:pPr>
            <w:r>
              <w:rPr>
                <w:sz w:val="20"/>
              </w:rPr>
              <w:t>70.20GP.</w:t>
            </w:r>
          </w:p>
          <w:p>
            <w:pPr>
              <w:pStyle w:val="TableParagraph"/>
              <w:spacing w:before="1"/>
              <w:ind w:left="74"/>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5"/>
              <w:rPr>
                <w:sz w:val="31"/>
              </w:rPr>
            </w:pPr>
          </w:p>
          <w:p>
            <w:pPr>
              <w:pStyle w:val="TableParagraph"/>
              <w:ind w:right="54"/>
              <w:jc w:val="right"/>
              <w:rPr>
                <w:sz w:val="20"/>
              </w:rPr>
            </w:pPr>
            <w:r>
              <w:rPr>
                <w:w w:val="95"/>
                <w:sz w:val="20"/>
              </w:rPr>
              <w:t>400.000,00</w:t>
            </w:r>
          </w:p>
        </w:tc>
        <w:tc>
          <w:tcPr>
            <w:tcW w:w="1560" w:type="dxa"/>
          </w:tcPr>
          <w:p>
            <w:pPr>
              <w:pStyle w:val="TableParagraph"/>
              <w:spacing w:before="5"/>
              <w:rPr>
                <w:sz w:val="29"/>
              </w:rPr>
            </w:pPr>
          </w:p>
          <w:p>
            <w:pPr>
              <w:pStyle w:val="TableParagraph"/>
              <w:tabs>
                <w:tab w:pos="1327" w:val="left" w:leader="none"/>
                <w:tab w:pos="1402" w:val="left" w:leader="none"/>
              </w:tabs>
              <w:ind w:left="73" w:right="54"/>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p>
            <w:pPr>
              <w:pStyle w:val="TableParagraph"/>
              <w:tabs>
                <w:tab w:pos="1157" w:val="left" w:leader="none"/>
              </w:tabs>
              <w:spacing w:before="1"/>
              <w:ind w:left="73"/>
              <w:rPr>
                <w:sz w:val="20"/>
              </w:rPr>
            </w:pPr>
            <w:r>
              <w:rPr>
                <w:sz w:val="20"/>
              </w:rPr>
              <w:t>Primar</w:t>
              <w:tab/>
              <w:t>pela</w:t>
            </w:r>
          </w:p>
          <w:p>
            <w:pPr>
              <w:pStyle w:val="TableParagraph"/>
              <w:tabs>
                <w:tab w:pos="1292" w:val="left" w:leader="none"/>
              </w:tabs>
              <w:ind w:left="73" w:right="55"/>
              <w:rPr>
                <w:sz w:val="20"/>
              </w:rPr>
            </w:pPr>
            <w:r>
              <w:rPr>
                <w:sz w:val="20"/>
              </w:rPr>
              <w:t>satisfação</w:t>
              <w:tab/>
            </w:r>
            <w:r>
              <w:rPr>
                <w:spacing w:val="-9"/>
                <w:sz w:val="20"/>
              </w:rPr>
              <w:t>do </w:t>
            </w:r>
            <w:r>
              <w:rPr>
                <w:sz w:val="20"/>
              </w:rPr>
              <w:t>cliente de</w:t>
            </w:r>
            <w:r>
              <w:rPr>
                <w:spacing w:val="-1"/>
                <w:sz w:val="20"/>
              </w:rPr>
              <w:t> </w:t>
            </w:r>
            <w:r>
              <w:rPr>
                <w:sz w:val="20"/>
              </w:rPr>
              <w:t>TI.</w:t>
            </w:r>
          </w:p>
        </w:tc>
        <w:tc>
          <w:tcPr>
            <w:tcW w:w="992" w:type="dxa"/>
          </w:tcPr>
          <w:p>
            <w:pPr>
              <w:pStyle w:val="TableParagraph"/>
              <w:rPr>
                <w:sz w:val="22"/>
              </w:rPr>
            </w:pPr>
          </w:p>
          <w:p>
            <w:pPr>
              <w:pStyle w:val="TableParagraph"/>
              <w:rPr>
                <w:sz w:val="22"/>
              </w:rPr>
            </w:pPr>
          </w:p>
          <w:p>
            <w:pPr>
              <w:pStyle w:val="TableParagraph"/>
              <w:rPr>
                <w:sz w:val="22"/>
              </w:rPr>
            </w:pPr>
          </w:p>
          <w:p>
            <w:pPr>
              <w:pStyle w:val="TableParagraph"/>
              <w:rPr>
                <w:sz w:val="22"/>
              </w:rPr>
            </w:pPr>
          </w:p>
          <w:p>
            <w:pPr>
              <w:pStyle w:val="TableParagraph"/>
              <w:spacing w:before="133"/>
              <w:ind w:left="73" w:right="119"/>
              <w:jc w:val="both"/>
              <w:rPr>
                <w:sz w:val="20"/>
              </w:rPr>
            </w:pPr>
            <w:r>
              <w:rPr>
                <w:w w:val="95"/>
                <w:sz w:val="20"/>
              </w:rPr>
              <w:t>SERTEL/ </w:t>
            </w:r>
            <w:r>
              <w:rPr>
                <w:sz w:val="20"/>
              </w:rPr>
              <w:t>COINFR A/STI</w:t>
            </w:r>
          </w:p>
        </w:tc>
        <w:tc>
          <w:tcPr>
            <w:tcW w:w="1404" w:type="dxa"/>
          </w:tcPr>
          <w:p>
            <w:pPr>
              <w:pStyle w:val="TableParagraph"/>
              <w:ind w:left="75"/>
              <w:rPr>
                <w:sz w:val="20"/>
              </w:rPr>
            </w:pPr>
            <w:r>
              <w:rPr>
                <w:sz w:val="20"/>
              </w:rPr>
              <w:t>PROCESSO </w:t>
            </w:r>
            <w:r>
              <w:rPr>
                <w:w w:val="95"/>
                <w:sz w:val="20"/>
              </w:rPr>
              <w:t>CANCELADO</w:t>
            </w:r>
          </w:p>
          <w:p>
            <w:pPr>
              <w:pStyle w:val="TableParagraph"/>
              <w:tabs>
                <w:tab w:pos="418" w:val="left" w:leader="none"/>
                <w:tab w:pos="1248" w:val="left" w:leader="none"/>
              </w:tabs>
              <w:ind w:left="75" w:right="52"/>
              <w:rPr>
                <w:sz w:val="20"/>
              </w:rPr>
            </w:pPr>
            <w:r>
              <w:rPr>
                <w:sz w:val="20"/>
              </w:rPr>
              <w:t>.</w:t>
              <w:tab/>
              <w:t>A </w:t>
            </w:r>
            <w:r>
              <w:rPr>
                <w:spacing w:val="-3"/>
                <w:sz w:val="20"/>
              </w:rPr>
              <w:t>unidade </w:t>
            </w:r>
            <w:r>
              <w:rPr>
                <w:sz w:val="20"/>
              </w:rPr>
              <w:t>avaliou</w:t>
              <w:tab/>
            </w:r>
            <w:r>
              <w:rPr>
                <w:spacing w:val="-15"/>
                <w:sz w:val="20"/>
              </w:rPr>
              <w:t>e </w:t>
            </w:r>
            <w:r>
              <w:rPr>
                <w:sz w:val="20"/>
              </w:rPr>
              <w:t>decidiu cancelar</w:t>
              <w:tab/>
            </w:r>
            <w:r>
              <w:rPr>
                <w:spacing w:val="-15"/>
                <w:sz w:val="20"/>
              </w:rPr>
              <w:t>a </w:t>
            </w:r>
            <w:r>
              <w:rPr>
                <w:sz w:val="20"/>
              </w:rPr>
              <w:t>contratação devido</w:t>
              <w:tab/>
            </w:r>
            <w:r>
              <w:rPr>
                <w:spacing w:val="-17"/>
                <w:sz w:val="20"/>
              </w:rPr>
              <w:t>à</w:t>
            </w:r>
          </w:p>
          <w:p>
            <w:pPr>
              <w:pStyle w:val="TableParagraph"/>
              <w:tabs>
                <w:tab w:pos="905" w:val="left" w:leader="none"/>
              </w:tabs>
              <w:ind w:left="75" w:right="54"/>
              <w:rPr>
                <w:sz w:val="20"/>
              </w:rPr>
            </w:pPr>
            <w:r>
              <w:rPr>
                <w:sz w:val="20"/>
              </w:rPr>
              <w:t>complexidade de acompanhamen to</w:t>
              <w:tab/>
            </w:r>
            <w:r>
              <w:rPr>
                <w:spacing w:val="-4"/>
                <w:sz w:val="20"/>
              </w:rPr>
              <w:t>desse</w:t>
            </w:r>
          </w:p>
          <w:p>
            <w:pPr>
              <w:pStyle w:val="TableParagraph"/>
              <w:spacing w:line="217" w:lineRule="exact"/>
              <w:ind w:left="75"/>
              <w:rPr>
                <w:sz w:val="20"/>
              </w:rPr>
            </w:pPr>
            <w:r>
              <w:rPr>
                <w:sz w:val="20"/>
              </w:rPr>
              <w:t>contrato,.</w:t>
            </w:r>
          </w:p>
        </w:tc>
      </w:tr>
    </w:tbl>
    <w:p>
      <w:pPr>
        <w:spacing w:after="0" w:line="217" w:lineRule="exact"/>
        <w:rPr>
          <w:sz w:val="20"/>
        </w:rPr>
        <w:sectPr>
          <w:pgSz w:w="16840" w:h="11910" w:orient="landscape"/>
          <w:pgMar w:header="360" w:footer="814" w:top="1540" w:bottom="1000" w:left="600" w:right="680"/>
        </w:sectPr>
      </w:pPr>
    </w:p>
    <w:p>
      <w:pPr>
        <w:pStyle w:val="BodyText"/>
        <w:rPr>
          <w:sz w:val="20"/>
        </w:rPr>
      </w:pPr>
    </w:p>
    <w:p>
      <w:pPr>
        <w:pStyle w:val="BodyText"/>
        <w:spacing w:before="6"/>
        <w:rPr>
          <w:sz w:val="11"/>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19"/>
        <w:gridCol w:w="1135"/>
        <w:gridCol w:w="2127"/>
        <w:gridCol w:w="1133"/>
        <w:gridCol w:w="1417"/>
        <w:gridCol w:w="1277"/>
        <w:gridCol w:w="994"/>
        <w:gridCol w:w="1275"/>
        <w:gridCol w:w="1560"/>
        <w:gridCol w:w="992"/>
        <w:gridCol w:w="1404"/>
      </w:tblGrid>
      <w:tr>
        <w:trPr>
          <w:trHeight w:val="299" w:hRule="atLeast"/>
        </w:trPr>
        <w:tc>
          <w:tcPr>
            <w:tcW w:w="576" w:type="dxa"/>
            <w:vMerge w:val="restart"/>
            <w:tcBorders>
              <w:left w:val="single" w:sz="8" w:space="0" w:color="000000"/>
            </w:tcBorders>
            <w:shd w:val="clear" w:color="auto" w:fill="C0C0C0"/>
          </w:tcPr>
          <w:p>
            <w:pPr>
              <w:pStyle w:val="TableParagraph"/>
              <w:rPr>
                <w:sz w:val="20"/>
              </w:rPr>
            </w:pPr>
          </w:p>
          <w:p>
            <w:pPr>
              <w:pStyle w:val="TableParagraph"/>
              <w:spacing w:before="5"/>
              <w:rPr>
                <w:sz w:val="20"/>
              </w:rPr>
            </w:pPr>
          </w:p>
          <w:p>
            <w:pPr>
              <w:pStyle w:val="TableParagraph"/>
              <w:ind w:left="107"/>
              <w:rPr>
                <w:b/>
                <w:sz w:val="18"/>
              </w:rPr>
            </w:pPr>
            <w:r>
              <w:rPr>
                <w:b/>
                <w:sz w:val="18"/>
              </w:rPr>
              <w:t>Ítem</w:t>
            </w:r>
          </w:p>
        </w:tc>
        <w:tc>
          <w:tcPr>
            <w:tcW w:w="1419" w:type="dxa"/>
            <w:vMerge w:val="restart"/>
            <w:shd w:val="clear" w:color="auto" w:fill="C0C0C0"/>
          </w:tcPr>
          <w:p>
            <w:pPr>
              <w:pStyle w:val="TableParagraph"/>
              <w:rPr>
                <w:sz w:val="20"/>
              </w:rPr>
            </w:pPr>
          </w:p>
          <w:p>
            <w:pPr>
              <w:pStyle w:val="TableParagraph"/>
              <w:spacing w:before="132"/>
              <w:ind w:left="107" w:right="60" w:firstLine="86"/>
              <w:rPr>
                <w:b/>
                <w:sz w:val="18"/>
              </w:rPr>
            </w:pPr>
            <w:r>
              <w:rPr>
                <w:b/>
                <w:sz w:val="18"/>
              </w:rPr>
              <w:t>OBJETO DA </w:t>
            </w:r>
            <w:r>
              <w:rPr>
                <w:b/>
                <w:spacing w:val="-19"/>
                <w:sz w:val="18"/>
              </w:rPr>
              <w:t>CONTRATAÇÃO</w:t>
            </w:r>
          </w:p>
        </w:tc>
        <w:tc>
          <w:tcPr>
            <w:tcW w:w="1135" w:type="dxa"/>
            <w:vMerge w:val="restart"/>
            <w:shd w:val="clear" w:color="auto" w:fill="C0C0C0"/>
          </w:tcPr>
          <w:p>
            <w:pPr>
              <w:pStyle w:val="TableParagraph"/>
              <w:rPr>
                <w:sz w:val="20"/>
              </w:rPr>
            </w:pPr>
          </w:p>
          <w:p>
            <w:pPr>
              <w:pStyle w:val="TableParagraph"/>
              <w:spacing w:before="132"/>
              <w:ind w:left="86" w:right="29" w:firstLine="64"/>
              <w:rPr>
                <w:b/>
                <w:sz w:val="18"/>
              </w:rPr>
            </w:pPr>
            <w:r>
              <w:rPr>
                <w:b/>
                <w:sz w:val="18"/>
              </w:rPr>
              <w:t>UNIDADE </w:t>
            </w:r>
            <w:r>
              <w:rPr>
                <w:b/>
                <w:spacing w:val="-32"/>
                <w:sz w:val="18"/>
              </w:rPr>
              <w:t>DEMANDANTE</w:t>
            </w:r>
          </w:p>
        </w:tc>
        <w:tc>
          <w:tcPr>
            <w:tcW w:w="2127" w:type="dxa"/>
            <w:vMerge w:val="restart"/>
            <w:shd w:val="clear" w:color="auto" w:fill="C0C0C0"/>
          </w:tcPr>
          <w:p>
            <w:pPr>
              <w:pStyle w:val="TableParagraph"/>
              <w:rPr>
                <w:sz w:val="20"/>
              </w:rPr>
            </w:pPr>
          </w:p>
          <w:p>
            <w:pPr>
              <w:pStyle w:val="TableParagraph"/>
              <w:spacing w:before="132"/>
              <w:ind w:left="366" w:firstLine="391"/>
              <w:rPr>
                <w:b/>
                <w:sz w:val="18"/>
              </w:rPr>
            </w:pPr>
            <w:r>
              <w:rPr>
                <w:b/>
                <w:sz w:val="18"/>
              </w:rPr>
              <w:t>BREVE JUSTIFICATIVA</w:t>
            </w:r>
          </w:p>
        </w:tc>
        <w:tc>
          <w:tcPr>
            <w:tcW w:w="2550" w:type="dxa"/>
            <w:gridSpan w:val="2"/>
            <w:shd w:val="clear" w:color="auto" w:fill="C0C0C0"/>
          </w:tcPr>
          <w:p>
            <w:pPr>
              <w:pStyle w:val="TableParagraph"/>
              <w:spacing w:before="45"/>
              <w:ind w:left="350"/>
              <w:rPr>
                <w:b/>
                <w:sz w:val="18"/>
              </w:rPr>
            </w:pPr>
            <w:r>
              <w:rPr>
                <w:b/>
                <w:sz w:val="18"/>
              </w:rPr>
              <w:t>PRAZO DE ENTREGA</w:t>
            </w:r>
          </w:p>
        </w:tc>
        <w:tc>
          <w:tcPr>
            <w:tcW w:w="1277" w:type="dxa"/>
            <w:vMerge w:val="restart"/>
            <w:shd w:val="clear" w:color="auto" w:fill="C0C0C0"/>
          </w:tcPr>
          <w:p>
            <w:pPr>
              <w:pStyle w:val="TableParagraph"/>
              <w:rPr>
                <w:sz w:val="20"/>
              </w:rPr>
            </w:pPr>
          </w:p>
          <w:p>
            <w:pPr>
              <w:pStyle w:val="TableParagraph"/>
              <w:spacing w:before="132"/>
              <w:ind w:left="118" w:right="28" w:hanging="39"/>
              <w:rPr>
                <w:b/>
                <w:sz w:val="18"/>
              </w:rPr>
            </w:pPr>
            <w:r>
              <w:rPr>
                <w:b/>
                <w:spacing w:val="-27"/>
                <w:sz w:val="18"/>
              </w:rPr>
              <w:t>CLASSIFICAÇÃO </w:t>
            </w:r>
            <w:r>
              <w:rPr>
                <w:b/>
                <w:sz w:val="18"/>
              </w:rPr>
              <w:t>DO OBJETO</w:t>
            </w:r>
          </w:p>
        </w:tc>
        <w:tc>
          <w:tcPr>
            <w:tcW w:w="994" w:type="dxa"/>
            <w:vMerge w:val="restart"/>
            <w:shd w:val="clear" w:color="auto" w:fill="C0C0C0"/>
          </w:tcPr>
          <w:p>
            <w:pPr>
              <w:pStyle w:val="TableParagraph"/>
              <w:spacing w:before="3"/>
              <w:rPr>
                <w:sz w:val="22"/>
              </w:rPr>
            </w:pPr>
          </w:p>
          <w:p>
            <w:pPr>
              <w:pStyle w:val="TableParagraph"/>
              <w:ind w:left="80" w:right="58" w:hanging="8"/>
              <w:jc w:val="center"/>
              <w:rPr>
                <w:b/>
                <w:sz w:val="18"/>
              </w:rPr>
            </w:pPr>
            <w:r>
              <w:rPr>
                <w:b/>
                <w:sz w:val="18"/>
              </w:rPr>
              <w:t>FONTE DE  </w:t>
            </w:r>
            <w:r>
              <w:rPr>
                <w:b/>
                <w:spacing w:val="-6"/>
                <w:sz w:val="18"/>
              </w:rPr>
              <w:t>RECURSO</w:t>
            </w:r>
          </w:p>
        </w:tc>
        <w:tc>
          <w:tcPr>
            <w:tcW w:w="1275" w:type="dxa"/>
            <w:vMerge w:val="restart"/>
            <w:shd w:val="clear" w:color="auto" w:fill="C0C0C0"/>
          </w:tcPr>
          <w:p>
            <w:pPr>
              <w:pStyle w:val="TableParagraph"/>
              <w:spacing w:before="3"/>
              <w:rPr>
                <w:sz w:val="22"/>
              </w:rPr>
            </w:pPr>
          </w:p>
          <w:p>
            <w:pPr>
              <w:pStyle w:val="TableParagraph"/>
              <w:ind w:left="80" w:right="57" w:hanging="3"/>
              <w:jc w:val="center"/>
              <w:rPr>
                <w:b/>
                <w:sz w:val="18"/>
              </w:rPr>
            </w:pPr>
            <w:r>
              <w:rPr>
                <w:b/>
                <w:spacing w:val="-5"/>
                <w:sz w:val="18"/>
              </w:rPr>
              <w:t>ESTIMATIVA </w:t>
            </w:r>
            <w:r>
              <w:rPr>
                <w:b/>
                <w:spacing w:val="-6"/>
                <w:sz w:val="18"/>
              </w:rPr>
              <w:t>PRELIMINAR </w:t>
            </w:r>
            <w:r>
              <w:rPr>
                <w:b/>
                <w:sz w:val="18"/>
              </w:rPr>
              <w:t>(R$)</w:t>
            </w:r>
          </w:p>
        </w:tc>
        <w:tc>
          <w:tcPr>
            <w:tcW w:w="1560" w:type="dxa"/>
            <w:vMerge w:val="restart"/>
            <w:shd w:val="clear" w:color="auto" w:fill="C0C0C0"/>
          </w:tcPr>
          <w:p>
            <w:pPr>
              <w:pStyle w:val="TableParagraph"/>
              <w:spacing w:before="3"/>
              <w:rPr>
                <w:sz w:val="22"/>
              </w:rPr>
            </w:pPr>
          </w:p>
          <w:p>
            <w:pPr>
              <w:pStyle w:val="TableParagraph"/>
              <w:ind w:left="89" w:right="73" w:hanging="1"/>
              <w:jc w:val="center"/>
              <w:rPr>
                <w:b/>
                <w:sz w:val="18"/>
              </w:rPr>
            </w:pPr>
            <w:r>
              <w:rPr>
                <w:b/>
                <w:sz w:val="18"/>
              </w:rPr>
              <w:t>VÍNCULO COM O PDTIC, PETIC OU PEI</w:t>
            </w:r>
          </w:p>
        </w:tc>
        <w:tc>
          <w:tcPr>
            <w:tcW w:w="992" w:type="dxa"/>
            <w:vMerge w:val="restart"/>
            <w:shd w:val="clear" w:color="auto" w:fill="C0C0C0"/>
          </w:tcPr>
          <w:p>
            <w:pPr>
              <w:pStyle w:val="TableParagraph"/>
              <w:rPr>
                <w:sz w:val="20"/>
              </w:rPr>
            </w:pPr>
          </w:p>
          <w:p>
            <w:pPr>
              <w:pStyle w:val="TableParagraph"/>
              <w:spacing w:before="132"/>
              <w:ind w:left="82" w:right="42" w:hanging="3"/>
              <w:rPr>
                <w:b/>
                <w:sz w:val="18"/>
              </w:rPr>
            </w:pPr>
            <w:r>
              <w:rPr>
                <w:b/>
                <w:sz w:val="18"/>
              </w:rPr>
              <w:t>UNIDADE TÉCNICA</w:t>
            </w:r>
          </w:p>
        </w:tc>
        <w:tc>
          <w:tcPr>
            <w:tcW w:w="1404" w:type="dxa"/>
            <w:vMerge w:val="restart"/>
            <w:shd w:val="clear" w:color="auto" w:fill="C0C0C0"/>
          </w:tcPr>
          <w:p>
            <w:pPr>
              <w:pStyle w:val="TableParagraph"/>
              <w:rPr>
                <w:sz w:val="20"/>
              </w:rPr>
            </w:pPr>
          </w:p>
          <w:p>
            <w:pPr>
              <w:pStyle w:val="TableParagraph"/>
              <w:spacing w:before="5"/>
              <w:rPr>
                <w:sz w:val="20"/>
              </w:rPr>
            </w:pPr>
          </w:p>
          <w:p>
            <w:pPr>
              <w:pStyle w:val="TableParagraph"/>
              <w:ind w:left="81"/>
              <w:rPr>
                <w:b/>
                <w:sz w:val="18"/>
              </w:rPr>
            </w:pPr>
            <w:r>
              <w:rPr>
                <w:b/>
                <w:spacing w:val="-10"/>
                <w:sz w:val="18"/>
              </w:rPr>
              <w:t>OBSERVAÇÕES</w:t>
            </w:r>
          </w:p>
        </w:tc>
      </w:tr>
      <w:tr>
        <w:trPr>
          <w:trHeight w:val="827" w:hRule="atLeast"/>
        </w:trPr>
        <w:tc>
          <w:tcPr>
            <w:tcW w:w="576" w:type="dxa"/>
            <w:vMerge/>
            <w:tcBorders>
              <w:top w:val="nil"/>
              <w:left w:val="single" w:sz="8" w:space="0" w:color="000000"/>
            </w:tcBorders>
            <w:shd w:val="clear" w:color="auto" w:fill="C0C0C0"/>
          </w:tcPr>
          <w:p>
            <w:pPr>
              <w:rPr>
                <w:sz w:val="2"/>
                <w:szCs w:val="2"/>
              </w:rPr>
            </w:pPr>
          </w:p>
        </w:tc>
        <w:tc>
          <w:tcPr>
            <w:tcW w:w="1419" w:type="dxa"/>
            <w:vMerge/>
            <w:tcBorders>
              <w:top w:val="nil"/>
            </w:tcBorders>
            <w:shd w:val="clear" w:color="auto" w:fill="C0C0C0"/>
          </w:tcPr>
          <w:p>
            <w:pPr>
              <w:rPr>
                <w:sz w:val="2"/>
                <w:szCs w:val="2"/>
              </w:rPr>
            </w:pPr>
          </w:p>
        </w:tc>
        <w:tc>
          <w:tcPr>
            <w:tcW w:w="1135" w:type="dxa"/>
            <w:vMerge/>
            <w:tcBorders>
              <w:top w:val="nil"/>
            </w:tcBorders>
            <w:shd w:val="clear" w:color="auto" w:fill="C0C0C0"/>
          </w:tcPr>
          <w:p>
            <w:pPr>
              <w:rPr>
                <w:sz w:val="2"/>
                <w:szCs w:val="2"/>
              </w:rPr>
            </w:pPr>
          </w:p>
        </w:tc>
        <w:tc>
          <w:tcPr>
            <w:tcW w:w="2127" w:type="dxa"/>
            <w:vMerge/>
            <w:tcBorders>
              <w:top w:val="nil"/>
            </w:tcBorders>
            <w:shd w:val="clear" w:color="auto" w:fill="C0C0C0"/>
          </w:tcPr>
          <w:p>
            <w:pPr>
              <w:rPr>
                <w:sz w:val="2"/>
                <w:szCs w:val="2"/>
              </w:rPr>
            </w:pPr>
          </w:p>
        </w:tc>
        <w:tc>
          <w:tcPr>
            <w:tcW w:w="1133" w:type="dxa"/>
            <w:shd w:val="clear" w:color="auto" w:fill="C0C0C0"/>
          </w:tcPr>
          <w:p>
            <w:pPr>
              <w:pStyle w:val="TableParagraph"/>
              <w:spacing w:before="10"/>
              <w:rPr>
                <w:sz w:val="17"/>
              </w:rPr>
            </w:pPr>
          </w:p>
          <w:p>
            <w:pPr>
              <w:pStyle w:val="TableParagraph"/>
              <w:ind w:left="86" w:right="24" w:firstLine="64"/>
              <w:rPr>
                <w:b/>
                <w:sz w:val="18"/>
              </w:rPr>
            </w:pPr>
            <w:r>
              <w:rPr>
                <w:b/>
                <w:sz w:val="18"/>
              </w:rPr>
              <w:t>ESTUDOS </w:t>
            </w:r>
            <w:r>
              <w:rPr>
                <w:b/>
                <w:spacing w:val="-34"/>
                <w:sz w:val="18"/>
              </w:rPr>
              <w:t>PRELIMINARES</w:t>
            </w:r>
          </w:p>
        </w:tc>
        <w:tc>
          <w:tcPr>
            <w:tcW w:w="1417" w:type="dxa"/>
            <w:shd w:val="clear" w:color="auto" w:fill="C0C0C0"/>
          </w:tcPr>
          <w:p>
            <w:pPr>
              <w:pStyle w:val="TableParagraph"/>
              <w:ind w:left="117" w:right="99" w:hanging="1"/>
              <w:jc w:val="center"/>
              <w:rPr>
                <w:b/>
                <w:sz w:val="18"/>
              </w:rPr>
            </w:pPr>
            <w:r>
              <w:rPr>
                <w:b/>
                <w:sz w:val="18"/>
              </w:rPr>
              <w:t>TERMO DE REFERÊNCIA OU PROJETO</w:t>
            </w:r>
          </w:p>
          <w:p>
            <w:pPr>
              <w:pStyle w:val="TableParagraph"/>
              <w:spacing w:line="186" w:lineRule="exact"/>
              <w:ind w:left="347" w:right="329"/>
              <w:jc w:val="center"/>
              <w:rPr>
                <w:b/>
                <w:sz w:val="18"/>
              </w:rPr>
            </w:pPr>
            <w:r>
              <w:rPr>
                <w:b/>
                <w:sz w:val="18"/>
              </w:rPr>
              <w:t>BÁSICO</w:t>
            </w:r>
          </w:p>
        </w:tc>
        <w:tc>
          <w:tcPr>
            <w:tcW w:w="1277" w:type="dxa"/>
            <w:vMerge/>
            <w:tcBorders>
              <w:top w:val="nil"/>
            </w:tcBorders>
            <w:shd w:val="clear" w:color="auto" w:fill="C0C0C0"/>
          </w:tcPr>
          <w:p>
            <w:pPr>
              <w:rPr>
                <w:sz w:val="2"/>
                <w:szCs w:val="2"/>
              </w:rPr>
            </w:pPr>
          </w:p>
        </w:tc>
        <w:tc>
          <w:tcPr>
            <w:tcW w:w="994" w:type="dxa"/>
            <w:vMerge/>
            <w:tcBorders>
              <w:top w:val="nil"/>
            </w:tcBorders>
            <w:shd w:val="clear" w:color="auto" w:fill="C0C0C0"/>
          </w:tcPr>
          <w:p>
            <w:pPr>
              <w:rPr>
                <w:sz w:val="2"/>
                <w:szCs w:val="2"/>
              </w:rPr>
            </w:pPr>
          </w:p>
        </w:tc>
        <w:tc>
          <w:tcPr>
            <w:tcW w:w="1275" w:type="dxa"/>
            <w:vMerge/>
            <w:tcBorders>
              <w:top w:val="nil"/>
            </w:tcBorders>
            <w:shd w:val="clear" w:color="auto" w:fill="C0C0C0"/>
          </w:tcPr>
          <w:p>
            <w:pPr>
              <w:rPr>
                <w:sz w:val="2"/>
                <w:szCs w:val="2"/>
              </w:rPr>
            </w:pPr>
          </w:p>
        </w:tc>
        <w:tc>
          <w:tcPr>
            <w:tcW w:w="1560" w:type="dxa"/>
            <w:vMerge/>
            <w:tcBorders>
              <w:top w:val="nil"/>
            </w:tcBorders>
            <w:shd w:val="clear" w:color="auto" w:fill="C0C0C0"/>
          </w:tcPr>
          <w:p>
            <w:pPr>
              <w:rPr>
                <w:sz w:val="2"/>
                <w:szCs w:val="2"/>
              </w:rPr>
            </w:pPr>
          </w:p>
        </w:tc>
        <w:tc>
          <w:tcPr>
            <w:tcW w:w="992" w:type="dxa"/>
            <w:vMerge/>
            <w:tcBorders>
              <w:top w:val="nil"/>
            </w:tcBorders>
            <w:shd w:val="clear" w:color="auto" w:fill="C0C0C0"/>
          </w:tcPr>
          <w:p>
            <w:pPr>
              <w:rPr>
                <w:sz w:val="2"/>
                <w:szCs w:val="2"/>
              </w:rPr>
            </w:pPr>
          </w:p>
        </w:tc>
        <w:tc>
          <w:tcPr>
            <w:tcW w:w="1404" w:type="dxa"/>
            <w:vMerge/>
            <w:tcBorders>
              <w:top w:val="nil"/>
            </w:tcBorders>
            <w:shd w:val="clear" w:color="auto" w:fill="C0C0C0"/>
          </w:tcPr>
          <w:p>
            <w:pPr>
              <w:rPr>
                <w:sz w:val="2"/>
                <w:szCs w:val="2"/>
              </w:rPr>
            </w:pPr>
          </w:p>
        </w:tc>
      </w:tr>
      <w:tr>
        <w:trPr>
          <w:trHeight w:val="2299" w:hRule="atLeast"/>
        </w:trPr>
        <w:tc>
          <w:tcPr>
            <w:tcW w:w="576" w:type="dxa"/>
            <w:tcBorders>
              <w:left w:val="single" w:sz="8" w:space="0" w:color="000000"/>
            </w:tcBorders>
            <w:shd w:val="clear" w:color="auto" w:fill="FF0000"/>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186"/>
              <w:rPr>
                <w:sz w:val="20"/>
              </w:rPr>
            </w:pPr>
            <w:r>
              <w:rPr>
                <w:color w:val="FFFFFF"/>
                <w:sz w:val="20"/>
              </w:rPr>
              <w:t>19</w:t>
            </w:r>
          </w:p>
        </w:tc>
        <w:tc>
          <w:tcPr>
            <w:tcW w:w="1419" w:type="dxa"/>
          </w:tcPr>
          <w:p>
            <w:pPr>
              <w:pStyle w:val="TableParagraph"/>
              <w:rPr>
                <w:sz w:val="22"/>
              </w:rPr>
            </w:pPr>
          </w:p>
          <w:p>
            <w:pPr>
              <w:pStyle w:val="TableParagraph"/>
              <w:rPr>
                <w:sz w:val="22"/>
              </w:rPr>
            </w:pPr>
          </w:p>
          <w:p>
            <w:pPr>
              <w:pStyle w:val="TableParagraph"/>
              <w:spacing w:before="4"/>
              <w:rPr>
                <w:sz w:val="25"/>
              </w:rPr>
            </w:pPr>
          </w:p>
          <w:p>
            <w:pPr>
              <w:pStyle w:val="TableParagraph"/>
              <w:tabs>
                <w:tab w:pos="741" w:val="left" w:leader="none"/>
              </w:tabs>
              <w:ind w:left="74" w:right="56"/>
              <w:jc w:val="both"/>
              <w:rPr>
                <w:sz w:val="20"/>
              </w:rPr>
            </w:pPr>
            <w:r>
              <w:rPr>
                <w:sz w:val="20"/>
              </w:rPr>
              <w:t>Links de acesso à</w:t>
              <w:tab/>
            </w:r>
            <w:r>
              <w:rPr>
                <w:spacing w:val="-3"/>
                <w:sz w:val="20"/>
              </w:rPr>
              <w:t>internet </w:t>
            </w:r>
            <w:r>
              <w:rPr>
                <w:sz w:val="20"/>
              </w:rPr>
              <w:t>móvel</w:t>
            </w:r>
          </w:p>
        </w:tc>
        <w:tc>
          <w:tcPr>
            <w:tcW w:w="1135" w:type="dxa"/>
          </w:tcPr>
          <w:p>
            <w:pPr>
              <w:pStyle w:val="TableParagraph"/>
              <w:rPr>
                <w:sz w:val="22"/>
              </w:rPr>
            </w:pPr>
          </w:p>
          <w:p>
            <w:pPr>
              <w:pStyle w:val="TableParagraph"/>
              <w:rPr>
                <w:sz w:val="22"/>
              </w:rPr>
            </w:pPr>
          </w:p>
          <w:p>
            <w:pPr>
              <w:pStyle w:val="TableParagraph"/>
              <w:spacing w:before="4"/>
              <w:rPr>
                <w:sz w:val="25"/>
              </w:rPr>
            </w:pPr>
          </w:p>
          <w:p>
            <w:pPr>
              <w:pStyle w:val="TableParagraph"/>
              <w:ind w:left="74" w:right="129"/>
              <w:jc w:val="both"/>
              <w:rPr>
                <w:sz w:val="20"/>
              </w:rPr>
            </w:pPr>
            <w:r>
              <w:rPr>
                <w:w w:val="95"/>
                <w:sz w:val="20"/>
              </w:rPr>
              <w:t>SERTEL/C </w:t>
            </w:r>
            <w:r>
              <w:rPr>
                <w:sz w:val="20"/>
              </w:rPr>
              <w:t>OINFRA/S TI</w:t>
            </w:r>
          </w:p>
        </w:tc>
        <w:tc>
          <w:tcPr>
            <w:tcW w:w="2127" w:type="dxa"/>
          </w:tcPr>
          <w:p>
            <w:pPr>
              <w:pStyle w:val="TableParagraph"/>
              <w:spacing w:before="5"/>
              <w:rPr>
                <w:sz w:val="19"/>
              </w:rPr>
            </w:pPr>
          </w:p>
          <w:p>
            <w:pPr>
              <w:pStyle w:val="TableParagraph"/>
              <w:tabs>
                <w:tab w:pos="1868" w:val="left" w:leader="none"/>
              </w:tabs>
              <w:ind w:left="74" w:right="56"/>
              <w:jc w:val="both"/>
              <w:rPr>
                <w:sz w:val="20"/>
              </w:rPr>
            </w:pPr>
            <w:r>
              <w:rPr>
                <w:sz w:val="20"/>
              </w:rPr>
              <w:t>Contratação</w:t>
              <w:tab/>
            </w:r>
            <w:r>
              <w:rPr>
                <w:spacing w:val="-8"/>
                <w:sz w:val="20"/>
              </w:rPr>
              <w:t>de </w:t>
            </w:r>
            <w:r>
              <w:rPr>
                <w:sz w:val="20"/>
              </w:rPr>
              <w:t>redundância para </w:t>
            </w:r>
            <w:r>
              <w:rPr>
                <w:spacing w:val="-7"/>
                <w:sz w:val="20"/>
              </w:rPr>
              <w:t>os </w:t>
            </w:r>
            <w:r>
              <w:rPr>
                <w:sz w:val="20"/>
              </w:rPr>
              <w:t>links de acesso remoto do item 17, a fim </w:t>
            </w:r>
            <w:r>
              <w:rPr>
                <w:spacing w:val="-6"/>
                <w:sz w:val="20"/>
              </w:rPr>
              <w:t>de </w:t>
            </w:r>
            <w:r>
              <w:rPr>
                <w:sz w:val="20"/>
              </w:rPr>
              <w:t>minimizar</w:t>
              <w:tab/>
            </w:r>
            <w:r>
              <w:rPr>
                <w:spacing w:val="-9"/>
                <w:sz w:val="20"/>
              </w:rPr>
              <w:t>as</w:t>
            </w:r>
          </w:p>
          <w:p>
            <w:pPr>
              <w:pStyle w:val="TableParagraph"/>
              <w:ind w:left="74"/>
              <w:rPr>
                <w:sz w:val="20"/>
              </w:rPr>
            </w:pPr>
            <w:r>
              <w:rPr>
                <w:sz w:val="20"/>
              </w:rPr>
              <w:t>indisponibilidades causadas pela queda dos links principais.</w:t>
            </w:r>
          </w:p>
        </w:tc>
        <w:tc>
          <w:tcPr>
            <w:tcW w:w="1133" w:type="dxa"/>
          </w:tcPr>
          <w:p>
            <w:pPr>
              <w:pStyle w:val="TableParagraph"/>
              <w:rPr>
                <w:sz w:val="18"/>
              </w:rPr>
            </w:pPr>
          </w:p>
        </w:tc>
        <w:tc>
          <w:tcPr>
            <w:tcW w:w="1417" w:type="dxa"/>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539"/>
              <w:rPr>
                <w:sz w:val="20"/>
              </w:rPr>
            </w:pPr>
            <w:r>
              <w:rPr>
                <w:sz w:val="20"/>
              </w:rPr>
              <w:t>19/2/2014</w:t>
            </w:r>
          </w:p>
        </w:tc>
        <w:tc>
          <w:tcPr>
            <w:tcW w:w="1277" w:type="dxa"/>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75"/>
              <w:rPr>
                <w:sz w:val="20"/>
              </w:rPr>
            </w:pPr>
            <w:r>
              <w:rPr>
                <w:sz w:val="20"/>
              </w:rPr>
              <w:t>Serviços</w:t>
            </w:r>
          </w:p>
        </w:tc>
        <w:tc>
          <w:tcPr>
            <w:tcW w:w="994" w:type="dxa"/>
          </w:tcPr>
          <w:p>
            <w:pPr>
              <w:pStyle w:val="TableParagraph"/>
              <w:rPr>
                <w:sz w:val="22"/>
              </w:rPr>
            </w:pPr>
          </w:p>
          <w:p>
            <w:pPr>
              <w:pStyle w:val="TableParagraph"/>
              <w:rPr>
                <w:sz w:val="22"/>
              </w:rPr>
            </w:pPr>
          </w:p>
          <w:p>
            <w:pPr>
              <w:pStyle w:val="TableParagraph"/>
              <w:spacing w:before="4"/>
              <w:rPr>
                <w:sz w:val="25"/>
              </w:rPr>
            </w:pPr>
          </w:p>
          <w:p>
            <w:pPr>
              <w:pStyle w:val="TableParagraph"/>
              <w:ind w:left="73"/>
              <w:rPr>
                <w:sz w:val="20"/>
              </w:rPr>
            </w:pPr>
            <w:r>
              <w:rPr>
                <w:sz w:val="20"/>
              </w:rPr>
              <w:t>02.122.05</w:t>
            </w:r>
          </w:p>
          <w:p>
            <w:pPr>
              <w:pStyle w:val="TableParagraph"/>
              <w:ind w:left="73"/>
              <w:rPr>
                <w:sz w:val="20"/>
              </w:rPr>
            </w:pPr>
            <w:r>
              <w:rPr>
                <w:sz w:val="20"/>
              </w:rPr>
              <w:t>70.20GP.</w:t>
            </w:r>
          </w:p>
          <w:p>
            <w:pPr>
              <w:pStyle w:val="TableParagraph"/>
              <w:spacing w:before="1"/>
              <w:ind w:left="73"/>
              <w:rPr>
                <w:sz w:val="20"/>
              </w:rPr>
            </w:pPr>
            <w:r>
              <w:rPr>
                <w:sz w:val="20"/>
              </w:rPr>
              <w:t>0029</w:t>
            </w:r>
          </w:p>
        </w:tc>
        <w:tc>
          <w:tcPr>
            <w:tcW w:w="1275" w:type="dxa"/>
          </w:tcPr>
          <w:p>
            <w:pPr>
              <w:pStyle w:val="TableParagraph"/>
              <w:rPr>
                <w:sz w:val="22"/>
              </w:rPr>
            </w:pPr>
          </w:p>
          <w:p>
            <w:pPr>
              <w:pStyle w:val="TableParagraph"/>
              <w:rPr>
                <w:sz w:val="22"/>
              </w:rPr>
            </w:pPr>
          </w:p>
          <w:p>
            <w:pPr>
              <w:pStyle w:val="TableParagraph"/>
              <w:rPr>
                <w:sz w:val="22"/>
              </w:rPr>
            </w:pPr>
          </w:p>
          <w:p>
            <w:pPr>
              <w:pStyle w:val="TableParagraph"/>
              <w:spacing w:before="4"/>
              <w:rPr>
                <w:sz w:val="23"/>
              </w:rPr>
            </w:pPr>
          </w:p>
          <w:p>
            <w:pPr>
              <w:pStyle w:val="TableParagraph"/>
              <w:ind w:left="307"/>
              <w:rPr>
                <w:sz w:val="20"/>
              </w:rPr>
            </w:pPr>
            <w:r>
              <w:rPr>
                <w:sz w:val="20"/>
              </w:rPr>
              <w:t>500.000,00</w:t>
            </w:r>
          </w:p>
        </w:tc>
        <w:tc>
          <w:tcPr>
            <w:tcW w:w="1560" w:type="dxa"/>
          </w:tcPr>
          <w:p>
            <w:pPr>
              <w:pStyle w:val="TableParagraph"/>
              <w:tabs>
                <w:tab w:pos="1326" w:val="left" w:leader="none"/>
                <w:tab w:pos="1401" w:val="left" w:leader="none"/>
              </w:tabs>
              <w:ind w:left="72" w:right="55"/>
              <w:rPr>
                <w:sz w:val="20"/>
              </w:rPr>
            </w:pPr>
            <w:r>
              <w:rPr>
                <w:sz w:val="20"/>
              </w:rPr>
              <w:t>Garantir</w:t>
              <w:tab/>
              <w:tab/>
            </w:r>
            <w:r>
              <w:rPr>
                <w:spacing w:val="-15"/>
                <w:sz w:val="20"/>
              </w:rPr>
              <w:t>a </w:t>
            </w:r>
            <w:r>
              <w:rPr>
                <w:sz w:val="20"/>
              </w:rPr>
              <w:t>estrutura de </w:t>
            </w:r>
            <w:r>
              <w:rPr>
                <w:spacing w:val="-6"/>
                <w:sz w:val="20"/>
              </w:rPr>
              <w:t>TI </w:t>
            </w:r>
            <w:r>
              <w:rPr>
                <w:sz w:val="20"/>
              </w:rPr>
              <w:t>apropriada</w:t>
              <w:tab/>
            </w:r>
            <w:r>
              <w:rPr>
                <w:spacing w:val="-9"/>
                <w:sz w:val="20"/>
              </w:rPr>
              <w:t>às </w:t>
            </w:r>
            <w:r>
              <w:rPr>
                <w:sz w:val="20"/>
              </w:rPr>
              <w:t>atividades judiciais</w:t>
              <w:tab/>
              <w:tab/>
            </w:r>
            <w:r>
              <w:rPr>
                <w:spacing w:val="-15"/>
                <w:sz w:val="20"/>
              </w:rPr>
              <w:t>e </w:t>
            </w:r>
            <w:r>
              <w:rPr>
                <w:sz w:val="20"/>
              </w:rPr>
              <w:t>administrativas (PETI);</w:t>
            </w:r>
          </w:p>
          <w:p>
            <w:pPr>
              <w:pStyle w:val="TableParagraph"/>
              <w:tabs>
                <w:tab w:pos="1156" w:val="left" w:leader="none"/>
              </w:tabs>
              <w:ind w:left="72"/>
              <w:rPr>
                <w:sz w:val="20"/>
              </w:rPr>
            </w:pPr>
            <w:r>
              <w:rPr>
                <w:sz w:val="20"/>
              </w:rPr>
              <w:t>Primar</w:t>
              <w:tab/>
              <w:t>pela</w:t>
            </w:r>
          </w:p>
          <w:p>
            <w:pPr>
              <w:pStyle w:val="TableParagraph"/>
              <w:tabs>
                <w:tab w:pos="1291" w:val="left" w:leader="none"/>
              </w:tabs>
              <w:spacing w:line="228" w:lineRule="exact"/>
              <w:ind w:left="72" w:right="56"/>
              <w:rPr>
                <w:sz w:val="20"/>
              </w:rPr>
            </w:pPr>
            <w:r>
              <w:rPr>
                <w:sz w:val="20"/>
              </w:rPr>
              <w:t>satisfação</w:t>
              <w:tab/>
            </w:r>
            <w:r>
              <w:rPr>
                <w:spacing w:val="-9"/>
                <w:sz w:val="20"/>
              </w:rPr>
              <w:t>do </w:t>
            </w:r>
            <w:r>
              <w:rPr>
                <w:sz w:val="20"/>
              </w:rPr>
              <w:t>cliente de</w:t>
            </w:r>
            <w:r>
              <w:rPr>
                <w:spacing w:val="-1"/>
                <w:sz w:val="20"/>
              </w:rPr>
              <w:t> </w:t>
            </w:r>
            <w:r>
              <w:rPr>
                <w:sz w:val="20"/>
              </w:rPr>
              <w:t>TI.</w:t>
            </w:r>
          </w:p>
        </w:tc>
        <w:tc>
          <w:tcPr>
            <w:tcW w:w="992" w:type="dxa"/>
          </w:tcPr>
          <w:p>
            <w:pPr>
              <w:pStyle w:val="TableParagraph"/>
              <w:rPr>
                <w:sz w:val="22"/>
              </w:rPr>
            </w:pPr>
          </w:p>
          <w:p>
            <w:pPr>
              <w:pStyle w:val="TableParagraph"/>
              <w:rPr>
                <w:sz w:val="22"/>
              </w:rPr>
            </w:pPr>
          </w:p>
          <w:p>
            <w:pPr>
              <w:pStyle w:val="TableParagraph"/>
              <w:spacing w:before="4"/>
              <w:rPr>
                <w:sz w:val="25"/>
              </w:rPr>
            </w:pPr>
          </w:p>
          <w:p>
            <w:pPr>
              <w:pStyle w:val="TableParagraph"/>
              <w:ind w:left="72" w:right="120"/>
              <w:jc w:val="both"/>
              <w:rPr>
                <w:sz w:val="20"/>
              </w:rPr>
            </w:pPr>
            <w:r>
              <w:rPr>
                <w:w w:val="95"/>
                <w:sz w:val="20"/>
              </w:rPr>
              <w:t>SERTEL/ </w:t>
            </w:r>
            <w:r>
              <w:rPr>
                <w:sz w:val="20"/>
              </w:rPr>
              <w:t>COINFR A/STI</w:t>
            </w:r>
          </w:p>
        </w:tc>
        <w:tc>
          <w:tcPr>
            <w:tcW w:w="1404" w:type="dxa"/>
          </w:tcPr>
          <w:p>
            <w:pPr>
              <w:pStyle w:val="TableParagraph"/>
              <w:rPr>
                <w:sz w:val="18"/>
              </w:rPr>
            </w:pPr>
          </w:p>
        </w:tc>
      </w:tr>
    </w:tbl>
    <w:p>
      <w:pPr>
        <w:spacing w:before="29" w:after="41"/>
        <w:ind w:left="10340" w:right="0" w:firstLine="0"/>
        <w:jc w:val="left"/>
        <w:rPr>
          <w:sz w:val="20"/>
        </w:rPr>
      </w:pPr>
      <w:r>
        <w:rPr>
          <w:sz w:val="20"/>
        </w:rPr>
        <w:t>7.891.034,00</w:t>
      </w: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14746"/>
      </w:tblGrid>
      <w:tr>
        <w:trPr>
          <w:trHeight w:val="242" w:hRule="atLeast"/>
        </w:trPr>
        <w:tc>
          <w:tcPr>
            <w:tcW w:w="15322" w:type="dxa"/>
            <w:gridSpan w:val="2"/>
          </w:tcPr>
          <w:p>
            <w:pPr>
              <w:pStyle w:val="TableParagraph"/>
              <w:spacing w:line="205" w:lineRule="exact" w:before="16"/>
              <w:ind w:left="69"/>
              <w:rPr>
                <w:b/>
                <w:sz w:val="18"/>
              </w:rPr>
            </w:pPr>
            <w:r>
              <w:rPr>
                <w:b/>
                <w:sz w:val="18"/>
              </w:rPr>
              <w:t>LEGENDA</w:t>
            </w:r>
          </w:p>
        </w:tc>
      </w:tr>
      <w:tr>
        <w:trPr>
          <w:trHeight w:val="571" w:hRule="atLeast"/>
        </w:trPr>
        <w:tc>
          <w:tcPr>
            <w:tcW w:w="576" w:type="dxa"/>
            <w:shd w:val="clear" w:color="auto" w:fill="FFFF00"/>
          </w:tcPr>
          <w:p>
            <w:pPr>
              <w:pStyle w:val="TableParagraph"/>
              <w:rPr>
                <w:sz w:val="18"/>
              </w:rPr>
            </w:pPr>
          </w:p>
        </w:tc>
        <w:tc>
          <w:tcPr>
            <w:tcW w:w="14746" w:type="dxa"/>
          </w:tcPr>
          <w:p>
            <w:pPr>
              <w:pStyle w:val="TableParagraph"/>
              <w:spacing w:before="74"/>
              <w:ind w:left="69" w:right="261"/>
              <w:rPr>
                <w:sz w:val="18"/>
              </w:rPr>
            </w:pPr>
            <w:r>
              <w:rPr>
                <w:sz w:val="18"/>
              </w:rPr>
              <w:t>O item 4 refere-se à participação do TRE-BA em Intenção de Registro de Preços do Ministério do Planejamento, Orçamento e Gestão (MPOG), com previsão de assinatura no final de dezembro/2013. Como já há expediente em tramitação com as especificações para aquisição dos itens da futura ARP, não haverá termo de referência no exercício de 2014.</w:t>
            </w:r>
          </w:p>
        </w:tc>
      </w:tr>
      <w:tr>
        <w:trPr>
          <w:trHeight w:val="551" w:hRule="atLeast"/>
        </w:trPr>
        <w:tc>
          <w:tcPr>
            <w:tcW w:w="576" w:type="dxa"/>
            <w:shd w:val="clear" w:color="auto" w:fill="FF0000"/>
          </w:tcPr>
          <w:p>
            <w:pPr>
              <w:pStyle w:val="TableParagraph"/>
              <w:rPr>
                <w:sz w:val="18"/>
              </w:rPr>
            </w:pPr>
          </w:p>
        </w:tc>
        <w:tc>
          <w:tcPr>
            <w:tcW w:w="14746" w:type="dxa"/>
          </w:tcPr>
          <w:p>
            <w:pPr>
              <w:pStyle w:val="TableParagraph"/>
              <w:spacing w:before="64"/>
              <w:ind w:left="69" w:right="261"/>
              <w:rPr>
                <w:sz w:val="18"/>
              </w:rPr>
            </w:pPr>
            <w:r>
              <w:rPr>
                <w:sz w:val="18"/>
              </w:rPr>
              <w:t>Os itens 16,17,18 e 19 são contratações para substituírem, ao longo do ano de 2014, o contrato atual do Backbone Secundário (vigente até janeiro de 2015), se estendendo, possivelmente, para 2015. Conforme um link vai sendo instalado pelo novo contrato, um do Backbone vai sendo desativado. Dessa forma, os novos contratos utilizarão o orçamento do Backbone que for sobrando.</w:t>
            </w:r>
          </w:p>
        </w:tc>
      </w:tr>
    </w:tbl>
    <w:p>
      <w:pPr>
        <w:spacing w:before="0"/>
        <w:ind w:left="120" w:right="0" w:firstLine="0"/>
        <w:jc w:val="left"/>
        <w:rPr>
          <w:sz w:val="20"/>
        </w:rPr>
      </w:pPr>
      <w:r>
        <w:rPr>
          <w:sz w:val="20"/>
        </w:rPr>
        <w:t>Fonte: STI do TRE-BA.</w:t>
      </w:r>
    </w:p>
    <w:p>
      <w:pPr>
        <w:spacing w:after="0"/>
        <w:jc w:val="left"/>
        <w:rPr>
          <w:sz w:val="20"/>
        </w:rPr>
        <w:sectPr>
          <w:pgSz w:w="16840" w:h="11910" w:orient="landscape"/>
          <w:pgMar w:header="360" w:footer="814" w:top="1540" w:bottom="1000" w:left="600" w:right="680"/>
        </w:sectPr>
      </w:pPr>
    </w:p>
    <w:p>
      <w:pPr>
        <w:pStyle w:val="BodyText"/>
        <w:spacing w:before="2"/>
        <w:rPr>
          <w:sz w:val="23"/>
        </w:rPr>
      </w:pPr>
    </w:p>
    <w:p>
      <w:pPr>
        <w:pStyle w:val="Heading1"/>
        <w:spacing w:before="90"/>
        <w:ind w:left="2700" w:right="773" w:hanging="1904"/>
      </w:pPr>
      <w:r>
        <w:rPr/>
        <w:t>PONTOS DE AUDITORIA A SEREM INCLUÍDOS NO PROGRAMA DE AUDITORIA COORDENADA DE TI</w:t>
      </w:r>
    </w:p>
    <w:p>
      <w:pPr>
        <w:pStyle w:val="BodyText"/>
        <w:spacing w:before="204"/>
        <w:ind w:left="122"/>
      </w:pPr>
      <w:r>
        <w:rPr>
          <w:b/>
        </w:rPr>
        <w:t>1º Ponto: </w:t>
      </w:r>
      <w:r>
        <w:rPr/>
        <w:t>O Tribunal/Conselho possui Plano de Contratações?</w:t>
      </w:r>
    </w:p>
    <w:p>
      <w:pPr>
        <w:pStyle w:val="BodyText"/>
        <w:spacing w:before="120"/>
        <w:ind w:left="122"/>
      </w:pPr>
      <w:r>
        <w:rPr/>
        <w:t>(X) SIM ( ) NÃO</w:t>
      </w:r>
    </w:p>
    <w:p>
      <w:pPr>
        <w:pStyle w:val="BodyText"/>
        <w:spacing w:before="120" w:after="9"/>
        <w:ind w:left="122"/>
      </w:pPr>
      <w:r>
        <w:rPr>
          <w:b/>
        </w:rPr>
        <w:t>2º Ponto: </w:t>
      </w:r>
      <w:r>
        <w:rPr/>
        <w:t>O Plano de Contratações foi elaborado em harmonia com o:</w:t>
      </w: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0"/>
        <w:gridCol w:w="5221"/>
        <w:gridCol w:w="1621"/>
        <w:gridCol w:w="1512"/>
      </w:tblGrid>
      <w:tr>
        <w:trPr>
          <w:trHeight w:val="457" w:hRule="atLeast"/>
        </w:trPr>
        <w:tc>
          <w:tcPr>
            <w:tcW w:w="720" w:type="dxa"/>
          </w:tcPr>
          <w:p>
            <w:pPr>
              <w:pStyle w:val="TableParagraph"/>
              <w:spacing w:line="228" w:lineRule="exact"/>
              <w:ind w:left="158"/>
              <w:rPr>
                <w:b/>
                <w:sz w:val="20"/>
              </w:rPr>
            </w:pPr>
            <w:r>
              <w:rPr>
                <w:b/>
                <w:sz w:val="20"/>
              </w:rPr>
              <w:t>Item</w:t>
            </w:r>
          </w:p>
        </w:tc>
        <w:tc>
          <w:tcPr>
            <w:tcW w:w="5221" w:type="dxa"/>
          </w:tcPr>
          <w:p>
            <w:pPr>
              <w:pStyle w:val="TableParagraph"/>
              <w:spacing w:line="228" w:lineRule="exact"/>
              <w:ind w:left="1889" w:right="1882"/>
              <w:jc w:val="center"/>
              <w:rPr>
                <w:b/>
                <w:sz w:val="20"/>
              </w:rPr>
            </w:pPr>
            <w:r>
              <w:rPr>
                <w:b/>
                <w:sz w:val="20"/>
              </w:rPr>
              <w:t>Questionamento</w:t>
            </w:r>
          </w:p>
        </w:tc>
        <w:tc>
          <w:tcPr>
            <w:tcW w:w="1621" w:type="dxa"/>
          </w:tcPr>
          <w:p>
            <w:pPr>
              <w:pStyle w:val="TableParagraph"/>
              <w:spacing w:line="230" w:lineRule="exact"/>
              <w:ind w:left="621" w:right="98" w:hanging="195"/>
              <w:rPr>
                <w:b/>
                <w:sz w:val="20"/>
              </w:rPr>
            </w:pPr>
            <w:r>
              <w:rPr>
                <w:b/>
                <w:w w:val="95"/>
                <w:sz w:val="20"/>
              </w:rPr>
              <w:t>Resposta </w:t>
            </w:r>
            <w:r>
              <w:rPr>
                <w:b/>
                <w:sz w:val="20"/>
              </w:rPr>
              <w:t>SIM</w:t>
            </w:r>
          </w:p>
        </w:tc>
        <w:tc>
          <w:tcPr>
            <w:tcW w:w="1512" w:type="dxa"/>
          </w:tcPr>
          <w:p>
            <w:pPr>
              <w:pStyle w:val="TableParagraph"/>
              <w:spacing w:line="230" w:lineRule="exact"/>
              <w:ind w:left="532" w:hanging="161"/>
              <w:rPr>
                <w:b/>
                <w:sz w:val="20"/>
              </w:rPr>
            </w:pPr>
            <w:r>
              <w:rPr>
                <w:b/>
                <w:w w:val="95"/>
                <w:sz w:val="20"/>
              </w:rPr>
              <w:t>Resposta </w:t>
            </w:r>
            <w:r>
              <w:rPr>
                <w:b/>
                <w:sz w:val="20"/>
              </w:rPr>
              <w:t>NÃO</w:t>
            </w:r>
          </w:p>
        </w:tc>
      </w:tr>
      <w:tr>
        <w:trPr>
          <w:trHeight w:val="458" w:hRule="atLeast"/>
        </w:trPr>
        <w:tc>
          <w:tcPr>
            <w:tcW w:w="720" w:type="dxa"/>
          </w:tcPr>
          <w:p>
            <w:pPr>
              <w:pStyle w:val="TableParagraph"/>
              <w:spacing w:line="223" w:lineRule="exact"/>
              <w:ind w:left="107"/>
              <w:rPr>
                <w:sz w:val="20"/>
              </w:rPr>
            </w:pPr>
            <w:r>
              <w:rPr>
                <w:sz w:val="20"/>
              </w:rPr>
              <w:t>a)</w:t>
            </w:r>
          </w:p>
        </w:tc>
        <w:tc>
          <w:tcPr>
            <w:tcW w:w="5221" w:type="dxa"/>
          </w:tcPr>
          <w:p>
            <w:pPr>
              <w:pStyle w:val="TableParagraph"/>
              <w:spacing w:line="222" w:lineRule="exact"/>
              <w:ind w:left="107"/>
              <w:rPr>
                <w:sz w:val="20"/>
              </w:rPr>
            </w:pPr>
            <w:r>
              <w:rPr>
                <w:sz w:val="20"/>
              </w:rPr>
              <w:t>Plano Diretor de Tecnologia da Informação e Comunicação</w:t>
            </w:r>
          </w:p>
          <w:p>
            <w:pPr>
              <w:pStyle w:val="TableParagraph"/>
              <w:spacing w:line="217" w:lineRule="exact"/>
              <w:ind w:left="107"/>
              <w:rPr>
                <w:sz w:val="20"/>
              </w:rPr>
            </w:pPr>
            <w:r>
              <w:rPr>
                <w:sz w:val="20"/>
              </w:rPr>
              <w:t>(PDTIC)?</w:t>
            </w:r>
          </w:p>
        </w:tc>
        <w:tc>
          <w:tcPr>
            <w:tcW w:w="1621" w:type="dxa"/>
          </w:tcPr>
          <w:p>
            <w:pPr>
              <w:pStyle w:val="TableParagraph"/>
              <w:rPr>
                <w:sz w:val="20"/>
              </w:rPr>
            </w:pPr>
          </w:p>
        </w:tc>
        <w:tc>
          <w:tcPr>
            <w:tcW w:w="1512" w:type="dxa"/>
          </w:tcPr>
          <w:p>
            <w:pPr>
              <w:pStyle w:val="TableParagraph"/>
              <w:spacing w:line="223" w:lineRule="exact"/>
              <w:ind w:left="8"/>
              <w:jc w:val="center"/>
              <w:rPr>
                <w:sz w:val="20"/>
              </w:rPr>
            </w:pPr>
            <w:r>
              <w:rPr>
                <w:w w:val="99"/>
                <w:sz w:val="20"/>
              </w:rPr>
              <w:t>X</w:t>
            </w:r>
          </w:p>
        </w:tc>
      </w:tr>
      <w:tr>
        <w:trPr>
          <w:trHeight w:val="230" w:hRule="atLeast"/>
        </w:trPr>
        <w:tc>
          <w:tcPr>
            <w:tcW w:w="720" w:type="dxa"/>
          </w:tcPr>
          <w:p>
            <w:pPr>
              <w:pStyle w:val="TableParagraph"/>
              <w:spacing w:line="210" w:lineRule="exact"/>
              <w:ind w:left="107"/>
              <w:rPr>
                <w:sz w:val="20"/>
              </w:rPr>
            </w:pPr>
            <w:r>
              <w:rPr>
                <w:sz w:val="20"/>
              </w:rPr>
              <w:t>b)</w:t>
            </w:r>
          </w:p>
        </w:tc>
        <w:tc>
          <w:tcPr>
            <w:tcW w:w="5221" w:type="dxa"/>
          </w:tcPr>
          <w:p>
            <w:pPr>
              <w:pStyle w:val="TableParagraph"/>
              <w:spacing w:line="210" w:lineRule="exact"/>
              <w:ind w:left="107"/>
              <w:rPr>
                <w:sz w:val="20"/>
              </w:rPr>
            </w:pPr>
            <w:r>
              <w:rPr>
                <w:sz w:val="20"/>
              </w:rPr>
              <w:t>Planejamento Estratégico Institucional (PEI)?</w:t>
            </w:r>
          </w:p>
        </w:tc>
        <w:tc>
          <w:tcPr>
            <w:tcW w:w="1621" w:type="dxa"/>
          </w:tcPr>
          <w:p>
            <w:pPr>
              <w:pStyle w:val="TableParagraph"/>
              <w:spacing w:line="210" w:lineRule="exact"/>
              <w:ind w:left="5"/>
              <w:jc w:val="center"/>
              <w:rPr>
                <w:sz w:val="20"/>
              </w:rPr>
            </w:pPr>
            <w:r>
              <w:rPr>
                <w:w w:val="99"/>
                <w:sz w:val="20"/>
              </w:rPr>
              <w:t>X</w:t>
            </w:r>
          </w:p>
        </w:tc>
        <w:tc>
          <w:tcPr>
            <w:tcW w:w="1512" w:type="dxa"/>
          </w:tcPr>
          <w:p>
            <w:pPr>
              <w:pStyle w:val="TableParagraph"/>
              <w:rPr>
                <w:sz w:val="16"/>
              </w:rPr>
            </w:pPr>
          </w:p>
        </w:tc>
      </w:tr>
      <w:tr>
        <w:trPr>
          <w:trHeight w:val="460" w:hRule="atLeast"/>
        </w:trPr>
        <w:tc>
          <w:tcPr>
            <w:tcW w:w="720" w:type="dxa"/>
          </w:tcPr>
          <w:p>
            <w:pPr>
              <w:pStyle w:val="TableParagraph"/>
              <w:spacing w:line="223" w:lineRule="exact"/>
              <w:ind w:left="107"/>
              <w:rPr>
                <w:sz w:val="20"/>
              </w:rPr>
            </w:pPr>
            <w:r>
              <w:rPr>
                <w:sz w:val="20"/>
              </w:rPr>
              <w:t>c)</w:t>
            </w:r>
          </w:p>
        </w:tc>
        <w:tc>
          <w:tcPr>
            <w:tcW w:w="5221" w:type="dxa"/>
          </w:tcPr>
          <w:p>
            <w:pPr>
              <w:pStyle w:val="TableParagraph"/>
              <w:spacing w:line="223" w:lineRule="exact"/>
              <w:ind w:left="107"/>
              <w:rPr>
                <w:sz w:val="20"/>
              </w:rPr>
            </w:pPr>
            <w:r>
              <w:rPr>
                <w:sz w:val="20"/>
              </w:rPr>
              <w:t>Planejamento Estratégico de Tecnologia da Informação e</w:t>
            </w:r>
          </w:p>
          <w:p>
            <w:pPr>
              <w:pStyle w:val="TableParagraph"/>
              <w:spacing w:line="217" w:lineRule="exact"/>
              <w:ind w:left="107"/>
              <w:rPr>
                <w:sz w:val="20"/>
              </w:rPr>
            </w:pPr>
            <w:r>
              <w:rPr>
                <w:sz w:val="20"/>
              </w:rPr>
              <w:t>Comunicação (PETIC)?</w:t>
            </w:r>
          </w:p>
        </w:tc>
        <w:tc>
          <w:tcPr>
            <w:tcW w:w="1621" w:type="dxa"/>
          </w:tcPr>
          <w:p>
            <w:pPr>
              <w:pStyle w:val="TableParagraph"/>
              <w:spacing w:line="223" w:lineRule="exact"/>
              <w:ind w:left="5"/>
              <w:jc w:val="center"/>
              <w:rPr>
                <w:sz w:val="20"/>
              </w:rPr>
            </w:pPr>
            <w:r>
              <w:rPr>
                <w:w w:val="99"/>
                <w:sz w:val="20"/>
              </w:rPr>
              <w:t>X</w:t>
            </w:r>
          </w:p>
        </w:tc>
        <w:tc>
          <w:tcPr>
            <w:tcW w:w="1512" w:type="dxa"/>
          </w:tcPr>
          <w:p>
            <w:pPr>
              <w:pStyle w:val="TableParagraph"/>
              <w:rPr>
                <w:sz w:val="20"/>
              </w:rPr>
            </w:pPr>
          </w:p>
        </w:tc>
      </w:tr>
    </w:tbl>
    <w:p>
      <w:pPr>
        <w:pStyle w:val="BodyText"/>
        <w:spacing w:before="3"/>
        <w:rPr>
          <w:sz w:val="23"/>
        </w:rPr>
      </w:pPr>
    </w:p>
    <w:p>
      <w:pPr>
        <w:pStyle w:val="BodyText"/>
        <w:ind w:left="122"/>
      </w:pPr>
      <w:r>
        <w:rPr>
          <w:b/>
        </w:rPr>
        <w:t>3º Ponto: </w:t>
      </w:r>
      <w:r>
        <w:rPr/>
        <w:t>No Plano de Contratações foram prefixados os prazos para elaboração dos estudos preliminares e do projeto básico ou do termo de referência?</w:t>
      </w:r>
    </w:p>
    <w:p>
      <w:pPr>
        <w:pStyle w:val="BodyText"/>
        <w:spacing w:before="120"/>
        <w:ind w:left="122"/>
      </w:pPr>
      <w:r>
        <w:rPr/>
        <w:t>( ) SIM ( X ) NÃO</w:t>
      </w:r>
    </w:p>
    <w:p>
      <w:pPr>
        <w:pStyle w:val="BodyText"/>
        <w:spacing w:before="120"/>
        <w:ind w:left="122" w:right="113"/>
        <w:jc w:val="both"/>
      </w:pPr>
      <w:r>
        <w:rPr>
          <w:b/>
        </w:rPr>
        <w:t>4º Ponto: </w:t>
      </w:r>
      <w:r>
        <w:rPr/>
        <w:t>Se não houve aprovação do Plano de Contratações, as contratações estão em harmonia com o Planejamento Estratégico Institucional (PEI), o Planejamento Estratégico de TIC (PETIC), o Plano Diretor de TIC (PDTIC) e com a Proposta Orçamentária?</w:t>
      </w:r>
    </w:p>
    <w:p>
      <w:pPr>
        <w:pStyle w:val="BodyText"/>
        <w:spacing w:before="121"/>
        <w:ind w:left="122"/>
        <w:jc w:val="both"/>
      </w:pPr>
      <w:r>
        <w:rPr/>
        <w:t>( X ) SIM ( ) NÃO</w:t>
      </w:r>
    </w:p>
    <w:p>
      <w:pPr>
        <w:pStyle w:val="BodyText"/>
        <w:spacing w:line="343" w:lineRule="auto" w:before="120"/>
        <w:ind w:left="122" w:right="819"/>
      </w:pPr>
      <w:r>
        <w:rPr>
          <w:b/>
        </w:rPr>
        <w:t>5º Ponto: </w:t>
      </w:r>
      <w:r>
        <w:rPr/>
        <w:t>Foi elaborado Documento de Oficialização de Demanda para a contratação? ( ) SIM (X) NÃO</w:t>
      </w:r>
    </w:p>
    <w:p>
      <w:pPr>
        <w:pStyle w:val="BodyText"/>
        <w:spacing w:before="2"/>
        <w:ind w:left="122" w:right="152"/>
      </w:pPr>
      <w:r>
        <w:rPr>
          <w:b/>
        </w:rPr>
        <w:t>6º Ponto: </w:t>
      </w:r>
      <w:r>
        <w:rPr/>
        <w:t>A solicitação constante do Documento de oficialização de Demanda está prevista no Plano de</w:t>
      </w:r>
      <w:r>
        <w:rPr>
          <w:spacing w:val="-3"/>
        </w:rPr>
        <w:t> </w:t>
      </w:r>
      <w:r>
        <w:rPr/>
        <w:t>Contratações?</w:t>
      </w:r>
    </w:p>
    <w:p>
      <w:pPr>
        <w:pStyle w:val="BodyText"/>
        <w:spacing w:before="120"/>
        <w:ind w:left="122"/>
      </w:pPr>
      <w:r>
        <w:rPr/>
        <w:t>( ) SIM ( X ) NÃO ( ) Não há Plano de Contratações</w:t>
      </w:r>
    </w:p>
    <w:p>
      <w:pPr>
        <w:pStyle w:val="BodyText"/>
        <w:spacing w:before="121"/>
        <w:ind w:left="122" w:right="773"/>
      </w:pPr>
      <w:r>
        <w:rPr>
          <w:b/>
        </w:rPr>
        <w:t>7º Ponto: </w:t>
      </w:r>
      <w:r>
        <w:rPr/>
        <w:t>No processo de contratação consta indicada a equipe de planejamento da contratação?</w:t>
      </w:r>
    </w:p>
    <w:p>
      <w:pPr>
        <w:pStyle w:val="BodyText"/>
        <w:spacing w:before="120"/>
        <w:ind w:left="122"/>
        <w:jc w:val="both"/>
      </w:pPr>
      <w:r>
        <w:rPr/>
        <w:t>( ) SIM ( X ) NÃO</w:t>
      </w:r>
    </w:p>
    <w:p>
      <w:pPr>
        <w:spacing w:before="120" w:after="9"/>
        <w:ind w:left="122" w:right="0" w:firstLine="0"/>
        <w:jc w:val="left"/>
        <w:rPr>
          <w:sz w:val="24"/>
        </w:rPr>
      </w:pPr>
      <w:r>
        <w:rPr>
          <w:b/>
          <w:sz w:val="24"/>
        </w:rPr>
        <w:t>8º Ponto: </w:t>
      </w:r>
      <w:r>
        <w:rPr>
          <w:sz w:val="24"/>
        </w:rPr>
        <w:t>No processo de contratação constam:</w:t>
      </w: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0"/>
        <w:gridCol w:w="6085"/>
        <w:gridCol w:w="1136"/>
        <w:gridCol w:w="1133"/>
      </w:tblGrid>
      <w:tr>
        <w:trPr>
          <w:trHeight w:val="460" w:hRule="atLeast"/>
        </w:trPr>
        <w:tc>
          <w:tcPr>
            <w:tcW w:w="720" w:type="dxa"/>
          </w:tcPr>
          <w:p>
            <w:pPr>
              <w:pStyle w:val="TableParagraph"/>
              <w:spacing w:before="113"/>
              <w:ind w:left="138" w:right="131"/>
              <w:jc w:val="center"/>
              <w:rPr>
                <w:b/>
                <w:sz w:val="20"/>
              </w:rPr>
            </w:pPr>
            <w:r>
              <w:rPr>
                <w:b/>
                <w:sz w:val="20"/>
              </w:rPr>
              <w:t>Item</w:t>
            </w:r>
          </w:p>
        </w:tc>
        <w:tc>
          <w:tcPr>
            <w:tcW w:w="6085" w:type="dxa"/>
          </w:tcPr>
          <w:p>
            <w:pPr>
              <w:pStyle w:val="TableParagraph"/>
              <w:spacing w:before="113"/>
              <w:ind w:left="2321" w:right="2314"/>
              <w:jc w:val="center"/>
              <w:rPr>
                <w:b/>
                <w:sz w:val="20"/>
              </w:rPr>
            </w:pPr>
            <w:r>
              <w:rPr>
                <w:b/>
                <w:sz w:val="20"/>
              </w:rPr>
              <w:t>Questionamento</w:t>
            </w:r>
          </w:p>
        </w:tc>
        <w:tc>
          <w:tcPr>
            <w:tcW w:w="1136" w:type="dxa"/>
          </w:tcPr>
          <w:p>
            <w:pPr>
              <w:pStyle w:val="TableParagraph"/>
              <w:spacing w:line="230" w:lineRule="exact"/>
              <w:ind w:left="377" w:hanging="195"/>
              <w:rPr>
                <w:b/>
                <w:sz w:val="20"/>
              </w:rPr>
            </w:pPr>
            <w:r>
              <w:rPr>
                <w:b/>
                <w:w w:val="95"/>
                <w:sz w:val="20"/>
              </w:rPr>
              <w:t>Resposta </w:t>
            </w:r>
            <w:r>
              <w:rPr>
                <w:b/>
                <w:sz w:val="20"/>
              </w:rPr>
              <w:t>SIM</w:t>
            </w:r>
          </w:p>
        </w:tc>
        <w:tc>
          <w:tcPr>
            <w:tcW w:w="1133" w:type="dxa"/>
          </w:tcPr>
          <w:p>
            <w:pPr>
              <w:pStyle w:val="TableParagraph"/>
              <w:spacing w:line="230" w:lineRule="exact"/>
              <w:ind w:left="340" w:right="24" w:hanging="161"/>
              <w:rPr>
                <w:b/>
                <w:sz w:val="20"/>
              </w:rPr>
            </w:pPr>
            <w:r>
              <w:rPr>
                <w:b/>
                <w:w w:val="95"/>
                <w:sz w:val="20"/>
              </w:rPr>
              <w:t>Resposta </w:t>
            </w:r>
            <w:r>
              <w:rPr>
                <w:b/>
                <w:sz w:val="20"/>
              </w:rPr>
              <w:t>NÃO</w:t>
            </w:r>
          </w:p>
        </w:tc>
      </w:tr>
      <w:tr>
        <w:trPr>
          <w:trHeight w:val="460" w:hRule="atLeast"/>
        </w:trPr>
        <w:tc>
          <w:tcPr>
            <w:tcW w:w="720" w:type="dxa"/>
          </w:tcPr>
          <w:p>
            <w:pPr>
              <w:pStyle w:val="TableParagraph"/>
              <w:spacing w:line="223" w:lineRule="exact"/>
              <w:ind w:left="137" w:right="131"/>
              <w:jc w:val="center"/>
              <w:rPr>
                <w:sz w:val="20"/>
              </w:rPr>
            </w:pPr>
            <w:r>
              <w:rPr>
                <w:sz w:val="20"/>
              </w:rPr>
              <w:t>a)</w:t>
            </w:r>
          </w:p>
        </w:tc>
        <w:tc>
          <w:tcPr>
            <w:tcW w:w="6085" w:type="dxa"/>
          </w:tcPr>
          <w:p>
            <w:pPr>
              <w:pStyle w:val="TableParagraph"/>
              <w:spacing w:line="223" w:lineRule="exact"/>
              <w:ind w:left="107"/>
              <w:rPr>
                <w:sz w:val="20"/>
              </w:rPr>
            </w:pPr>
            <w:r>
              <w:rPr>
                <w:sz w:val="20"/>
              </w:rPr>
              <w:t>os Estudos Preliminares elaborados pela equipe de planejamento da</w:t>
            </w:r>
          </w:p>
          <w:p>
            <w:pPr>
              <w:pStyle w:val="TableParagraph"/>
              <w:spacing w:line="217" w:lineRule="exact"/>
              <w:ind w:left="107"/>
              <w:rPr>
                <w:sz w:val="20"/>
              </w:rPr>
            </w:pPr>
            <w:r>
              <w:rPr>
                <w:sz w:val="20"/>
              </w:rPr>
              <w:t>Contratação?</w:t>
            </w:r>
          </w:p>
        </w:tc>
        <w:tc>
          <w:tcPr>
            <w:tcW w:w="1136" w:type="dxa"/>
          </w:tcPr>
          <w:p>
            <w:pPr>
              <w:pStyle w:val="TableParagraph"/>
              <w:rPr>
                <w:sz w:val="20"/>
              </w:rPr>
            </w:pPr>
          </w:p>
        </w:tc>
        <w:tc>
          <w:tcPr>
            <w:tcW w:w="1133" w:type="dxa"/>
          </w:tcPr>
          <w:p>
            <w:pPr>
              <w:pStyle w:val="TableParagraph"/>
              <w:spacing w:before="108"/>
              <w:ind w:left="491"/>
              <w:rPr>
                <w:sz w:val="20"/>
              </w:rPr>
            </w:pPr>
            <w:r>
              <w:rPr>
                <w:w w:val="99"/>
                <w:sz w:val="20"/>
              </w:rPr>
              <w:t>X</w:t>
            </w:r>
          </w:p>
        </w:tc>
      </w:tr>
      <w:tr>
        <w:trPr>
          <w:trHeight w:val="230" w:hRule="atLeast"/>
        </w:trPr>
        <w:tc>
          <w:tcPr>
            <w:tcW w:w="720" w:type="dxa"/>
          </w:tcPr>
          <w:p>
            <w:pPr>
              <w:pStyle w:val="TableParagraph"/>
              <w:spacing w:line="210" w:lineRule="exact"/>
              <w:ind w:left="138" w:right="129"/>
              <w:jc w:val="center"/>
              <w:rPr>
                <w:sz w:val="20"/>
              </w:rPr>
            </w:pPr>
            <w:r>
              <w:rPr>
                <w:sz w:val="20"/>
              </w:rPr>
              <w:t>b)</w:t>
            </w:r>
          </w:p>
        </w:tc>
        <w:tc>
          <w:tcPr>
            <w:tcW w:w="6085" w:type="dxa"/>
          </w:tcPr>
          <w:p>
            <w:pPr>
              <w:pStyle w:val="TableParagraph"/>
              <w:spacing w:line="210" w:lineRule="exact"/>
              <w:ind w:left="107"/>
              <w:rPr>
                <w:sz w:val="20"/>
              </w:rPr>
            </w:pPr>
            <w:r>
              <w:rPr>
                <w:sz w:val="20"/>
              </w:rPr>
              <w:t>o documento de Análise de Viabilidade da Contratação?</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230" w:hRule="atLeast"/>
        </w:trPr>
        <w:tc>
          <w:tcPr>
            <w:tcW w:w="720" w:type="dxa"/>
          </w:tcPr>
          <w:p>
            <w:pPr>
              <w:pStyle w:val="TableParagraph"/>
              <w:spacing w:line="210" w:lineRule="exact"/>
              <w:ind w:left="137" w:right="131"/>
              <w:jc w:val="center"/>
              <w:rPr>
                <w:sz w:val="20"/>
              </w:rPr>
            </w:pPr>
            <w:r>
              <w:rPr>
                <w:sz w:val="20"/>
              </w:rPr>
              <w:t>c)</w:t>
            </w:r>
          </w:p>
        </w:tc>
        <w:tc>
          <w:tcPr>
            <w:tcW w:w="6085" w:type="dxa"/>
          </w:tcPr>
          <w:p>
            <w:pPr>
              <w:pStyle w:val="TableParagraph"/>
              <w:spacing w:line="210" w:lineRule="exact"/>
              <w:ind w:left="107"/>
              <w:rPr>
                <w:sz w:val="20"/>
              </w:rPr>
            </w:pPr>
            <w:r>
              <w:rPr>
                <w:sz w:val="20"/>
              </w:rPr>
              <w:t>o documento de Sustentação do Contrato?</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230" w:hRule="atLeast"/>
        </w:trPr>
        <w:tc>
          <w:tcPr>
            <w:tcW w:w="720" w:type="dxa"/>
          </w:tcPr>
          <w:p>
            <w:pPr>
              <w:pStyle w:val="TableParagraph"/>
              <w:spacing w:line="210" w:lineRule="exact"/>
              <w:ind w:left="138" w:right="129"/>
              <w:jc w:val="center"/>
              <w:rPr>
                <w:sz w:val="20"/>
              </w:rPr>
            </w:pPr>
            <w:r>
              <w:rPr>
                <w:sz w:val="20"/>
              </w:rPr>
              <w:t>d)</w:t>
            </w:r>
          </w:p>
        </w:tc>
        <w:tc>
          <w:tcPr>
            <w:tcW w:w="6085" w:type="dxa"/>
          </w:tcPr>
          <w:p>
            <w:pPr>
              <w:pStyle w:val="TableParagraph"/>
              <w:spacing w:line="210" w:lineRule="exact"/>
              <w:ind w:left="107"/>
              <w:rPr>
                <w:sz w:val="20"/>
              </w:rPr>
            </w:pPr>
            <w:r>
              <w:rPr>
                <w:sz w:val="20"/>
              </w:rPr>
              <w:t>o documento de Estratégia para Contratação?</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230" w:hRule="atLeast"/>
        </w:trPr>
        <w:tc>
          <w:tcPr>
            <w:tcW w:w="720" w:type="dxa"/>
          </w:tcPr>
          <w:p>
            <w:pPr>
              <w:pStyle w:val="TableParagraph"/>
              <w:spacing w:line="210" w:lineRule="exact"/>
              <w:ind w:left="137" w:right="131"/>
              <w:jc w:val="center"/>
              <w:rPr>
                <w:sz w:val="20"/>
              </w:rPr>
            </w:pPr>
            <w:r>
              <w:rPr>
                <w:sz w:val="20"/>
              </w:rPr>
              <w:t>e)</w:t>
            </w:r>
          </w:p>
        </w:tc>
        <w:tc>
          <w:tcPr>
            <w:tcW w:w="6085" w:type="dxa"/>
          </w:tcPr>
          <w:p>
            <w:pPr>
              <w:pStyle w:val="TableParagraph"/>
              <w:spacing w:line="210" w:lineRule="exact"/>
              <w:ind w:left="107"/>
              <w:rPr>
                <w:sz w:val="20"/>
              </w:rPr>
            </w:pPr>
            <w:r>
              <w:rPr>
                <w:sz w:val="20"/>
              </w:rPr>
              <w:t>o documento de Análise de Riscos?</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688" w:hRule="atLeast"/>
        </w:trPr>
        <w:tc>
          <w:tcPr>
            <w:tcW w:w="720" w:type="dxa"/>
          </w:tcPr>
          <w:p>
            <w:pPr>
              <w:pStyle w:val="TableParagraph"/>
              <w:spacing w:line="223" w:lineRule="exact"/>
              <w:ind w:left="135" w:right="131"/>
              <w:jc w:val="center"/>
              <w:rPr>
                <w:sz w:val="20"/>
              </w:rPr>
            </w:pPr>
            <w:r>
              <w:rPr>
                <w:sz w:val="20"/>
              </w:rPr>
              <w:t>f)</w:t>
            </w:r>
          </w:p>
        </w:tc>
        <w:tc>
          <w:tcPr>
            <w:tcW w:w="6085" w:type="dxa"/>
          </w:tcPr>
          <w:p>
            <w:pPr>
              <w:pStyle w:val="TableParagraph"/>
              <w:spacing w:line="223" w:lineRule="exact"/>
              <w:ind w:left="107"/>
              <w:rPr>
                <w:sz w:val="20"/>
              </w:rPr>
            </w:pPr>
            <w:r>
              <w:rPr>
                <w:sz w:val="20"/>
              </w:rPr>
              <w:t>o Projeto Básico ou Termo de Referência, elaborado, no mínimo, com</w:t>
            </w:r>
          </w:p>
          <w:p>
            <w:pPr>
              <w:pStyle w:val="TableParagraph"/>
              <w:spacing w:line="228" w:lineRule="exact" w:before="4"/>
              <w:ind w:left="107"/>
              <w:rPr>
                <w:sz w:val="20"/>
              </w:rPr>
            </w:pPr>
            <w:r>
              <w:rPr>
                <w:sz w:val="20"/>
              </w:rPr>
              <w:t>observância das exigências do § 3º do art. 18 da Resolução CNJ nº 182/2013?</w:t>
            </w:r>
          </w:p>
        </w:tc>
        <w:tc>
          <w:tcPr>
            <w:tcW w:w="1136" w:type="dxa"/>
          </w:tcPr>
          <w:p>
            <w:pPr>
              <w:pStyle w:val="TableParagraph"/>
              <w:rPr>
                <w:sz w:val="20"/>
              </w:rPr>
            </w:pPr>
          </w:p>
        </w:tc>
        <w:tc>
          <w:tcPr>
            <w:tcW w:w="1133" w:type="dxa"/>
          </w:tcPr>
          <w:p>
            <w:pPr>
              <w:pStyle w:val="TableParagraph"/>
              <w:spacing w:before="5"/>
              <w:rPr>
                <w:sz w:val="19"/>
              </w:rPr>
            </w:pPr>
          </w:p>
          <w:p>
            <w:pPr>
              <w:pStyle w:val="TableParagraph"/>
              <w:ind w:left="491"/>
              <w:rPr>
                <w:sz w:val="20"/>
              </w:rPr>
            </w:pPr>
            <w:r>
              <w:rPr>
                <w:w w:val="99"/>
                <w:sz w:val="20"/>
              </w:rPr>
              <w:t>X</w:t>
            </w:r>
          </w:p>
        </w:tc>
      </w:tr>
      <w:tr>
        <w:trPr>
          <w:trHeight w:val="230" w:hRule="atLeast"/>
        </w:trPr>
        <w:tc>
          <w:tcPr>
            <w:tcW w:w="720" w:type="dxa"/>
          </w:tcPr>
          <w:p>
            <w:pPr>
              <w:pStyle w:val="TableParagraph"/>
              <w:spacing w:line="210" w:lineRule="exact"/>
              <w:ind w:left="136" w:right="131"/>
              <w:jc w:val="center"/>
              <w:rPr>
                <w:sz w:val="20"/>
              </w:rPr>
            </w:pPr>
            <w:r>
              <w:rPr>
                <w:sz w:val="20"/>
              </w:rPr>
              <w:t>g)</w:t>
            </w:r>
          </w:p>
        </w:tc>
        <w:tc>
          <w:tcPr>
            <w:tcW w:w="6085" w:type="dxa"/>
          </w:tcPr>
          <w:p>
            <w:pPr>
              <w:pStyle w:val="TableParagraph"/>
              <w:spacing w:line="210" w:lineRule="exact"/>
              <w:ind w:left="107"/>
              <w:rPr>
                <w:sz w:val="20"/>
              </w:rPr>
            </w:pPr>
            <w:r>
              <w:rPr>
                <w:sz w:val="20"/>
              </w:rPr>
              <w:t>identificação dos possíveis riscos que comprometam a contratação.</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230" w:hRule="atLeast"/>
        </w:trPr>
        <w:tc>
          <w:tcPr>
            <w:tcW w:w="720" w:type="dxa"/>
          </w:tcPr>
          <w:p>
            <w:pPr>
              <w:pStyle w:val="TableParagraph"/>
              <w:spacing w:line="210" w:lineRule="exact"/>
              <w:ind w:left="136" w:right="131"/>
              <w:jc w:val="center"/>
              <w:rPr>
                <w:sz w:val="20"/>
              </w:rPr>
            </w:pPr>
            <w:r>
              <w:rPr>
                <w:sz w:val="20"/>
              </w:rPr>
              <w:t>h)</w:t>
            </w:r>
          </w:p>
        </w:tc>
        <w:tc>
          <w:tcPr>
            <w:tcW w:w="6085" w:type="dxa"/>
          </w:tcPr>
          <w:p>
            <w:pPr>
              <w:pStyle w:val="TableParagraph"/>
              <w:spacing w:line="210" w:lineRule="exact"/>
              <w:ind w:left="107"/>
              <w:rPr>
                <w:sz w:val="20"/>
              </w:rPr>
            </w:pPr>
            <w:r>
              <w:rPr>
                <w:sz w:val="20"/>
              </w:rPr>
              <w:t>identificação das ações a serem tomadas caso os riscos se concretizem.</w:t>
            </w:r>
          </w:p>
        </w:tc>
        <w:tc>
          <w:tcPr>
            <w:tcW w:w="1136" w:type="dxa"/>
          </w:tcPr>
          <w:p>
            <w:pPr>
              <w:pStyle w:val="TableParagraph"/>
              <w:rPr>
                <w:sz w:val="16"/>
              </w:rPr>
            </w:pPr>
          </w:p>
        </w:tc>
        <w:tc>
          <w:tcPr>
            <w:tcW w:w="1133" w:type="dxa"/>
          </w:tcPr>
          <w:p>
            <w:pPr>
              <w:pStyle w:val="TableParagraph"/>
              <w:spacing w:line="210" w:lineRule="exact"/>
              <w:ind w:left="491"/>
              <w:rPr>
                <w:sz w:val="20"/>
              </w:rPr>
            </w:pPr>
            <w:r>
              <w:rPr>
                <w:w w:val="99"/>
                <w:sz w:val="20"/>
              </w:rPr>
              <w:t>X</w:t>
            </w:r>
          </w:p>
        </w:tc>
      </w:tr>
      <w:tr>
        <w:trPr>
          <w:trHeight w:val="460" w:hRule="atLeast"/>
        </w:trPr>
        <w:tc>
          <w:tcPr>
            <w:tcW w:w="720" w:type="dxa"/>
          </w:tcPr>
          <w:p>
            <w:pPr>
              <w:pStyle w:val="TableParagraph"/>
              <w:spacing w:line="223" w:lineRule="exact"/>
              <w:ind w:left="137" w:right="131"/>
              <w:jc w:val="center"/>
              <w:rPr>
                <w:sz w:val="20"/>
              </w:rPr>
            </w:pPr>
            <w:r>
              <w:rPr>
                <w:sz w:val="20"/>
              </w:rPr>
              <w:t>i)</w:t>
            </w:r>
          </w:p>
        </w:tc>
        <w:tc>
          <w:tcPr>
            <w:tcW w:w="6085" w:type="dxa"/>
          </w:tcPr>
          <w:p>
            <w:pPr>
              <w:pStyle w:val="TableParagraph"/>
              <w:spacing w:line="223" w:lineRule="exact"/>
              <w:ind w:left="107"/>
              <w:rPr>
                <w:sz w:val="20"/>
              </w:rPr>
            </w:pPr>
            <w:r>
              <w:rPr>
                <w:sz w:val="20"/>
              </w:rPr>
              <w:t>definidos os responsáveis pelas ações de prevenção de riscos e</w:t>
            </w:r>
          </w:p>
          <w:p>
            <w:pPr>
              <w:pStyle w:val="TableParagraph"/>
              <w:spacing w:line="217" w:lineRule="exact"/>
              <w:ind w:left="107"/>
              <w:rPr>
                <w:sz w:val="20"/>
              </w:rPr>
            </w:pPr>
            <w:r>
              <w:rPr>
                <w:sz w:val="20"/>
              </w:rPr>
              <w:t>procedimentos de contingência.</w:t>
            </w:r>
          </w:p>
        </w:tc>
        <w:tc>
          <w:tcPr>
            <w:tcW w:w="1136" w:type="dxa"/>
          </w:tcPr>
          <w:p>
            <w:pPr>
              <w:pStyle w:val="TableParagraph"/>
              <w:rPr>
                <w:sz w:val="20"/>
              </w:rPr>
            </w:pPr>
          </w:p>
        </w:tc>
        <w:tc>
          <w:tcPr>
            <w:tcW w:w="1133" w:type="dxa"/>
          </w:tcPr>
          <w:p>
            <w:pPr>
              <w:pStyle w:val="TableParagraph"/>
              <w:spacing w:before="108"/>
              <w:ind w:left="491"/>
              <w:rPr>
                <w:sz w:val="20"/>
              </w:rPr>
            </w:pPr>
            <w:r>
              <w:rPr>
                <w:w w:val="99"/>
                <w:sz w:val="20"/>
              </w:rPr>
              <w:t>X</w:t>
            </w:r>
          </w:p>
        </w:tc>
      </w:tr>
    </w:tbl>
    <w:p>
      <w:pPr>
        <w:spacing w:before="0"/>
        <w:ind w:left="122" w:right="0" w:firstLine="0"/>
        <w:jc w:val="both"/>
        <w:rPr>
          <w:sz w:val="20"/>
        </w:rPr>
      </w:pPr>
      <w:r>
        <w:rPr>
          <w:sz w:val="20"/>
        </w:rPr>
        <w:t>Fonte: CNJ.</w:t>
      </w:r>
    </w:p>
    <w:p>
      <w:pPr>
        <w:spacing w:after="0"/>
        <w:jc w:val="both"/>
        <w:rPr>
          <w:sz w:val="20"/>
        </w:rPr>
        <w:sectPr>
          <w:headerReference w:type="default" r:id="rId12"/>
          <w:footerReference w:type="default" r:id="rId13"/>
          <w:pgSz w:w="11910" w:h="16840"/>
          <w:pgMar w:header="494" w:footer="813" w:top="1700" w:bottom="1000" w:left="1580" w:right="1020"/>
          <w:pgNumType w:start="26"/>
        </w:sectPr>
      </w:pPr>
    </w:p>
    <w:p>
      <w:pPr>
        <w:pStyle w:val="BodyText"/>
        <w:spacing w:before="2"/>
        <w:rPr>
          <w:sz w:val="23"/>
        </w:rPr>
      </w:pPr>
    </w:p>
    <w:p>
      <w:pPr>
        <w:pStyle w:val="Heading1"/>
        <w:spacing w:before="90"/>
        <w:ind w:left="714"/>
      </w:pPr>
      <w:bookmarkStart w:name="_bookmark5" w:id="11"/>
      <w:bookmarkEnd w:id="11"/>
      <w:r>
        <w:rPr>
          <w:b w:val="0"/>
        </w:rPr>
      </w:r>
      <w:r>
        <w:rPr/>
        <w:t>LEGISLAÇÃO CONSULTADA E OUTRAS FONTES DE INFORMAÇÃO:</w:t>
      </w:r>
    </w:p>
    <w:p>
      <w:pPr>
        <w:pStyle w:val="BodyText"/>
        <w:rPr>
          <w:b/>
          <w:sz w:val="26"/>
        </w:rPr>
      </w:pPr>
    </w:p>
    <w:p>
      <w:pPr>
        <w:pStyle w:val="BodyText"/>
        <w:spacing w:before="2"/>
        <w:rPr>
          <w:b/>
          <w:sz w:val="22"/>
        </w:rPr>
      </w:pPr>
    </w:p>
    <w:p>
      <w:pPr>
        <w:pStyle w:val="BodyText"/>
        <w:tabs>
          <w:tab w:pos="1271" w:val="left" w:leader="none"/>
          <w:tab w:pos="1782" w:val="left" w:leader="none"/>
          <w:tab w:pos="2783" w:val="left" w:leader="none"/>
          <w:tab w:pos="3873" w:val="left" w:leader="none"/>
          <w:tab w:pos="4699" w:val="left" w:leader="none"/>
          <w:tab w:pos="6038" w:val="left" w:leader="none"/>
          <w:tab w:pos="6616" w:val="left" w:leader="none"/>
        </w:tabs>
        <w:spacing w:before="1"/>
        <w:ind w:left="122" w:right="108"/>
      </w:pPr>
      <w:r>
        <w:rPr/>
        <w:t>BRASIL. Conselho Nacional de Justiça. </w:t>
      </w:r>
      <w:r>
        <w:rPr>
          <w:i/>
        </w:rPr>
        <w:t>Resolução CNJ nº 182, de 17 de outubro de 2013</w:t>
      </w:r>
      <w:r>
        <w:rPr/>
        <w:t>. Dispõe sobre a diretrizes para as contratações de Solução de Tecnologia da Informação e Comunicação pelos órgãos submetidos ao controle administrativo e financeiro do Conselho Nacional</w:t>
        <w:tab/>
        <w:t>de</w:t>
        <w:tab/>
        <w:t>Justiça.</w:t>
        <w:tab/>
        <w:t>Brasília.</w:t>
        <w:tab/>
        <w:t>2009.</w:t>
        <w:tab/>
        <w:t>Disponível</w:t>
        <w:tab/>
        <w:t>em</w:t>
        <w:tab/>
      </w:r>
      <w:hyperlink r:id="rId14">
        <w:r>
          <w:rPr>
            <w:spacing w:val="-1"/>
          </w:rPr>
          <w:t>http://www.cnj.jus.br/atos-</w:t>
        </w:r>
      </w:hyperlink>
      <w:r>
        <w:rPr>
          <w:spacing w:val="-1"/>
        </w:rPr>
        <w:t> </w:t>
      </w:r>
      <w:r>
        <w:rPr/>
        <w:t>administrativos/atos-da-presidencia/323-resolucoes/12201-resolucao-no-86-de-08-de- setembro-de-2009. Acesso em 1º de setembro de</w:t>
      </w:r>
      <w:r>
        <w:rPr>
          <w:spacing w:val="-3"/>
        </w:rPr>
        <w:t> </w:t>
      </w:r>
      <w:r>
        <w:rPr/>
        <w:t>2014.</w:t>
      </w:r>
    </w:p>
    <w:p>
      <w:pPr>
        <w:pStyle w:val="BodyText"/>
        <w:tabs>
          <w:tab w:pos="961" w:val="left" w:leader="none"/>
          <w:tab w:pos="4007" w:val="left" w:leader="none"/>
        </w:tabs>
        <w:spacing w:before="120"/>
        <w:ind w:left="122" w:right="108"/>
        <w:jc w:val="both"/>
      </w:pPr>
      <w:r>
        <w:rPr>
          <w:u w:val="single"/>
        </w:rPr>
        <w:t> </w:t>
        <w:tab/>
      </w:r>
      <w:r>
        <w:rPr/>
        <w:t>.</w:t>
      </w:r>
      <w:r>
        <w:rPr>
          <w:u w:val="single"/>
        </w:rPr>
        <w:t> </w:t>
        <w:tab/>
      </w:r>
      <w:r>
        <w:rPr/>
        <w:t>. </w:t>
      </w:r>
      <w:r>
        <w:rPr>
          <w:i/>
        </w:rPr>
        <w:t>Resolução CNJ nº 171, de 1º de março de 2013</w:t>
      </w:r>
      <w:r>
        <w:rPr/>
        <w:t>. Dispõe sobre as normas técnicas de auditoria, inspeção administrativa e fiscalização nas unidades jurisdicionais vinculadas ao Conselho Nacional de Justiça (Processo CNJ nº 349.544). Brasília. 2013. Disponível em </w:t>
      </w:r>
      <w:hyperlink r:id="rId15">
        <w:r>
          <w:rPr/>
          <w:t>http://www.cnj.jus.br/atos-administrativos/atos-da-</w:t>
        </w:r>
      </w:hyperlink>
      <w:r>
        <w:rPr/>
        <w:t> presidencia/resolucoespresidencia/23810-resolucao-n-171-de-1-de-marco-de-2013. Acesso em 1º de julho de</w:t>
      </w:r>
      <w:r>
        <w:rPr>
          <w:spacing w:val="-1"/>
        </w:rPr>
        <w:t> </w:t>
      </w:r>
      <w:r>
        <w:rPr/>
        <w:t>2014.</w:t>
      </w:r>
    </w:p>
    <w:p>
      <w:pPr>
        <w:pStyle w:val="BodyText"/>
        <w:tabs>
          <w:tab w:pos="961" w:val="left" w:leader="none"/>
          <w:tab w:pos="4016" w:val="left" w:leader="none"/>
        </w:tabs>
        <w:spacing w:before="118"/>
        <w:ind w:left="122" w:right="106"/>
        <w:jc w:val="both"/>
      </w:pPr>
      <w:r>
        <w:rPr>
          <w:u w:val="single"/>
        </w:rPr>
        <w:t> </w:t>
        <w:tab/>
      </w:r>
      <w:r>
        <w:rPr/>
        <w:t>.</w:t>
      </w:r>
      <w:r>
        <w:rPr>
          <w:u w:val="single"/>
        </w:rPr>
        <w:t> </w:t>
        <w:tab/>
      </w:r>
      <w:r>
        <w:rPr/>
        <w:t>. </w:t>
      </w:r>
      <w:r>
        <w:rPr>
          <w:i/>
        </w:rPr>
        <w:t>Resolução CNJ nº 114, de 20 de abril de 2013</w:t>
      </w:r>
      <w:r>
        <w:rPr/>
        <w:t>. Dispõe sobre: I - O planejamento, a execução e o monitoramento de obras no poder judiciário; II - Os parâmetros e orientações para precificação, elaboração de editais, composição de BDI, critérios mínimos para habilitação técnica e cláusulas essenciais nos novos contratos de reforma ou construção de imóveis no Poder Judiciário. III - A referência de áreas a serem utilizadas quando da elaboração de novos projetos de reforma ou construção de imóveis no Poder Judiciário; </w:t>
      </w:r>
      <w:r>
        <w:rPr>
          <w:spacing w:val="-3"/>
        </w:rPr>
        <w:t>IV </w:t>
      </w:r>
      <w:r>
        <w:rPr/>
        <w:t>- A premiação dos melhores projetos de novas obras no âmbito do Poder Judiciário. Brasília - DF. 2010. Disponível em </w:t>
      </w:r>
      <w:hyperlink r:id="rId14">
        <w:r>
          <w:rPr/>
          <w:t>http://www.cnj.jus.br/atos-</w:t>
        </w:r>
      </w:hyperlink>
      <w:r>
        <w:rPr/>
        <w:t> administrativos/atos-da-presidencia/resolucoespresidencia/12232:resolucao-no-114-de-20-de- abril-de-2010&amp;catid=323:resolucoes. Acesso em 3 de outubro de</w:t>
      </w:r>
      <w:r>
        <w:rPr>
          <w:spacing w:val="-3"/>
        </w:rPr>
        <w:t> </w:t>
      </w:r>
      <w:r>
        <w:rPr/>
        <w:t>2014.</w:t>
      </w:r>
    </w:p>
    <w:p>
      <w:pPr>
        <w:spacing w:before="121"/>
        <w:ind w:left="122" w:right="111" w:firstLine="0"/>
        <w:jc w:val="both"/>
        <w:rPr>
          <w:sz w:val="24"/>
        </w:rPr>
      </w:pPr>
      <w:r>
        <w:rPr>
          <w:sz w:val="24"/>
        </w:rPr>
        <w:t>BRASIL. Tribunal de Contas da União. </w:t>
      </w:r>
      <w:r>
        <w:rPr>
          <w:i/>
          <w:sz w:val="24"/>
        </w:rPr>
        <w:t>Guia de boas práticas em contratação de soluções de </w:t>
      </w:r>
      <w:r>
        <w:rPr>
          <w:i/>
          <w:sz w:val="24"/>
        </w:rPr>
        <w:t>tecnologia da informação: </w:t>
      </w:r>
      <w:r>
        <w:rPr>
          <w:sz w:val="24"/>
        </w:rPr>
        <w:t>riscos e controles para o planejamento da contratação. 1ª ed. Brasília: TCU.</w:t>
      </w:r>
    </w:p>
    <w:p>
      <w:pPr>
        <w:pStyle w:val="BodyText"/>
        <w:spacing w:before="120"/>
        <w:ind w:left="122" w:right="110"/>
        <w:jc w:val="both"/>
      </w:pPr>
      <w:r>
        <w:rPr/>
        <w:t>BRASIL. Tribunal Regional Eleitoral da Bahia. </w:t>
      </w:r>
      <w:r>
        <w:rPr>
          <w:i/>
        </w:rPr>
        <w:t>Resolução Administrativa TRE-BA nº 3, de 26 </w:t>
      </w:r>
      <w:r>
        <w:rPr>
          <w:i/>
        </w:rPr>
        <w:t>de abril de 2010. </w:t>
      </w:r>
      <w:r>
        <w:rPr/>
        <w:t>Aprova o Planejamento Estratégico de Tecnologia da Informação do Tribunal Regional Eleitoral da Bahia para o período de 2010 a 2014 e dá outras providências. Salvador – BA. 2010. Disponível em </w:t>
      </w:r>
      <w:hyperlink r:id="rId16">
        <w:r>
          <w:rPr/>
          <w:t>http://intranet.tre-ba.gov.br/institucional/gestao-</w:t>
        </w:r>
      </w:hyperlink>
      <w:r>
        <w:rPr/>
        <w:t> estrategica/planejamento-estrategico-de-ti. Acesso em 3 de outubro de 2014.</w:t>
      </w:r>
    </w:p>
    <w:p>
      <w:pPr>
        <w:pStyle w:val="BodyText"/>
        <w:tabs>
          <w:tab w:pos="918" w:val="left" w:leader="none"/>
          <w:tab w:pos="3388" w:val="left" w:leader="none"/>
          <w:tab w:pos="4456" w:val="left" w:leader="none"/>
        </w:tabs>
        <w:spacing w:before="120"/>
        <w:ind w:left="122" w:right="101"/>
        <w:jc w:val="both"/>
      </w:pPr>
      <w:r>
        <w:rPr>
          <w:u w:val="single"/>
        </w:rPr>
        <w:t> </w:t>
        <w:tab/>
      </w:r>
      <w:r>
        <w:rPr/>
        <w:t>.</w:t>
      </w:r>
      <w:r>
        <w:rPr>
          <w:u w:val="single"/>
        </w:rPr>
        <w:t> </w:t>
        <w:tab/>
        <w:tab/>
      </w:r>
      <w:r>
        <w:rPr/>
        <w:t>. </w:t>
      </w:r>
      <w:r>
        <w:rPr>
          <w:i/>
          <w:spacing w:val="-6"/>
        </w:rPr>
        <w:t>Resolução Administrativa TRE-BA </w:t>
      </w:r>
      <w:r>
        <w:rPr>
          <w:i/>
          <w:spacing w:val="-4"/>
        </w:rPr>
        <w:t>nº </w:t>
      </w:r>
      <w:r>
        <w:rPr>
          <w:i/>
          <w:spacing w:val="-5"/>
        </w:rPr>
        <w:t>13, </w:t>
      </w:r>
      <w:r>
        <w:rPr>
          <w:i/>
          <w:spacing w:val="-3"/>
        </w:rPr>
        <w:t>de </w:t>
      </w:r>
      <w:r>
        <w:rPr>
          <w:i/>
          <w:spacing w:val="-4"/>
        </w:rPr>
        <w:t>18 de </w:t>
      </w:r>
      <w:r>
        <w:rPr>
          <w:i/>
          <w:spacing w:val="-6"/>
        </w:rPr>
        <w:t>dezembro </w:t>
      </w:r>
      <w:r>
        <w:rPr>
          <w:i/>
          <w:spacing w:val="-3"/>
        </w:rPr>
        <w:t>de </w:t>
      </w:r>
      <w:r>
        <w:rPr>
          <w:i/>
          <w:spacing w:val="-6"/>
        </w:rPr>
        <w:t>2012. </w:t>
      </w:r>
      <w:r>
        <w:rPr>
          <w:spacing w:val="-5"/>
        </w:rPr>
        <w:t>Dispõe sobre </w:t>
      </w:r>
      <w:r>
        <w:rPr/>
        <w:t>a </w:t>
      </w:r>
      <w:r>
        <w:rPr>
          <w:spacing w:val="-6"/>
        </w:rPr>
        <w:t>revisão </w:t>
      </w:r>
      <w:r>
        <w:rPr>
          <w:spacing w:val="-4"/>
        </w:rPr>
        <w:t>do </w:t>
      </w:r>
      <w:r>
        <w:rPr>
          <w:spacing w:val="-6"/>
        </w:rPr>
        <w:t>Planejamento Estratégico </w:t>
      </w:r>
      <w:r>
        <w:rPr>
          <w:spacing w:val="-5"/>
        </w:rPr>
        <w:t>para </w:t>
      </w:r>
      <w:r>
        <w:rPr/>
        <w:t>o </w:t>
      </w:r>
      <w:r>
        <w:rPr>
          <w:spacing w:val="-6"/>
        </w:rPr>
        <w:t>período 2012-2014 </w:t>
      </w:r>
      <w:r>
        <w:rPr>
          <w:spacing w:val="-4"/>
        </w:rPr>
        <w:t>no </w:t>
      </w:r>
      <w:r>
        <w:rPr>
          <w:spacing w:val="-6"/>
        </w:rPr>
        <w:t>âmbito </w:t>
      </w:r>
      <w:r>
        <w:rPr>
          <w:spacing w:val="-3"/>
        </w:rPr>
        <w:t>da </w:t>
      </w:r>
      <w:r>
        <w:rPr>
          <w:spacing w:val="-6"/>
        </w:rPr>
        <w:t>Justiça </w:t>
      </w:r>
      <w:r>
        <w:rPr>
          <w:spacing w:val="-7"/>
        </w:rPr>
        <w:t>Eleitoral </w:t>
      </w:r>
      <w:r>
        <w:rPr>
          <w:spacing w:val="-3"/>
        </w:rPr>
        <w:t>da </w:t>
      </w:r>
      <w:r>
        <w:rPr>
          <w:spacing w:val="-6"/>
        </w:rPr>
        <w:t>Bahia </w:t>
      </w:r>
      <w:r>
        <w:rPr/>
        <w:t>e </w:t>
      </w:r>
      <w:r>
        <w:rPr>
          <w:spacing w:val="-3"/>
        </w:rPr>
        <w:t>dá </w:t>
      </w:r>
      <w:r>
        <w:rPr>
          <w:spacing w:val="-6"/>
        </w:rPr>
        <w:t>outras providências. Salvador </w:t>
      </w:r>
      <w:r>
        <w:rPr/>
        <w:t>– </w:t>
      </w:r>
      <w:r>
        <w:rPr>
          <w:spacing w:val="-5"/>
        </w:rPr>
        <w:t>BA. </w:t>
      </w:r>
      <w:r>
        <w:rPr>
          <w:spacing w:val="-6"/>
        </w:rPr>
        <w:t>2012. Disponível </w:t>
      </w:r>
      <w:r>
        <w:rPr>
          <w:spacing w:val="-5"/>
        </w:rPr>
        <w:t>em</w:t>
        <w:tab/>
        <w:tab/>
      </w:r>
      <w:hyperlink r:id="rId17">
        <w:r>
          <w:rPr>
            <w:spacing w:val="-7"/>
          </w:rPr>
          <w:t>http://intranet.tre-ba.gov.br/normas-e-documentacoes-1/normas-</w:t>
        </w:r>
      </w:hyperlink>
      <w:r>
        <w:rPr>
          <w:spacing w:val="-7"/>
        </w:rPr>
        <w:t> internas/regimentos/Res%20Adm%2005-2013%20-</w:t>
      </w:r>
    </w:p>
    <w:p>
      <w:pPr>
        <w:pStyle w:val="BodyText"/>
        <w:spacing w:before="1"/>
        <w:ind w:left="122"/>
        <w:jc w:val="both"/>
      </w:pPr>
      <w:r>
        <w:rPr/>
        <w:t>%20Regulamento%20Interno%20da%20Secretaria.pdf/view. Acesso em 3 de outubro de 2014.</w:t>
      </w:r>
    </w:p>
    <w:p>
      <w:pPr>
        <w:pStyle w:val="BodyText"/>
        <w:tabs>
          <w:tab w:pos="961" w:val="left" w:leader="none"/>
          <w:tab w:pos="4403" w:val="left" w:leader="none"/>
        </w:tabs>
        <w:spacing w:line="276" w:lineRule="auto" w:before="122"/>
        <w:ind w:left="122" w:right="107"/>
        <w:jc w:val="both"/>
      </w:pPr>
      <w:r>
        <w:rPr>
          <w:u w:val="single"/>
        </w:rPr>
        <w:t> </w:t>
        <w:tab/>
      </w:r>
      <w:r>
        <w:rPr/>
        <w:t>.</w:t>
      </w:r>
      <w:r>
        <w:rPr>
          <w:u w:val="single"/>
        </w:rPr>
        <w:t> </w:t>
        <w:tab/>
      </w:r>
      <w:r>
        <w:rPr/>
        <w:t>. </w:t>
      </w:r>
      <w:r>
        <w:rPr>
          <w:i/>
        </w:rPr>
        <w:t>Instrução Normativa TCU nº 72, de 12 </w:t>
      </w:r>
      <w:r>
        <w:rPr>
          <w:i/>
          <w:spacing w:val="-6"/>
        </w:rPr>
        <w:t>de </w:t>
      </w:r>
      <w:r>
        <w:rPr>
          <w:i/>
        </w:rPr>
        <w:t>novembro de 2010</w:t>
      </w:r>
      <w:r>
        <w:rPr/>
        <w:t>. Dispõe sobre o processo de contratação de Soluções de Tecnologia da Informação pelos órgãos integrantes do Sistema de Administração dos Recursos de Informação e Informática (SISP) do Poder Executivo Federal. Brasília, 2013. Disponível em </w:t>
      </w:r>
      <w:hyperlink r:id="rId18">
        <w:r>
          <w:rPr>
            <w:color w:val="0000FF"/>
            <w:u w:val="single" w:color="0000FF"/>
          </w:rPr>
          <w:t>http://www.governoeletronico.gov.br</w:t>
        </w:r>
      </w:hyperlink>
      <w:r>
        <w:rPr/>
        <w:t>. Acesso em 10 de outubro de</w:t>
      </w:r>
      <w:r>
        <w:rPr>
          <w:spacing w:val="-1"/>
        </w:rPr>
        <w:t> </w:t>
      </w:r>
      <w:r>
        <w:rPr/>
        <w:t>2014.</w:t>
      </w:r>
    </w:p>
    <w:p>
      <w:pPr>
        <w:spacing w:after="0" w:line="276" w:lineRule="auto"/>
        <w:jc w:val="both"/>
        <w:sectPr>
          <w:pgSz w:w="11910" w:h="16840"/>
          <w:pgMar w:header="494" w:footer="813" w:top="1700" w:bottom="1000" w:left="1580" w:right="1020"/>
        </w:sectPr>
      </w:pPr>
    </w:p>
    <w:p>
      <w:pPr>
        <w:pStyle w:val="BodyText"/>
        <w:spacing w:before="4"/>
        <w:rPr>
          <w:sz w:val="17"/>
        </w:rPr>
      </w:pPr>
    </w:p>
    <w:sectPr>
      <w:headerReference w:type="default" r:id="rId19"/>
      <w:footerReference w:type="default" r:id="rId20"/>
      <w:pgSz w:w="11910" w:h="16840"/>
      <w:pgMar w:header="494" w:footer="813" w:top="1700" w:bottom="1000" w:left="1580" w:right="1020"/>
      <w:pgNumType w:start="2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rlito">
    <w:altName w:val="Carlito"/>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7.26001pt;margin-top:790.25pt;width:16.1pt;height:12pt;mso-position-horizontal-relative:page;mso-position-vertical-relative:page;z-index:-17213440" type="#_x0000_t202" filled="false" stroked="false">
          <v:textbox inset="0,0,0,0">
            <w:txbxContent>
              <w:p>
                <w:pPr>
                  <w:spacing w:line="223" w:lineRule="exact" w:before="0"/>
                  <w:ind w:left="60" w:right="0" w:firstLine="0"/>
                  <w:jc w:val="left"/>
                  <w:rPr>
                    <w:rFonts w:ascii="Carlito"/>
                    <w:sz w:val="20"/>
                  </w:rPr>
                </w:pPr>
                <w:r>
                  <w:rPr/>
                  <w:fldChar w:fldCharType="begin"/>
                </w:r>
                <w:r>
                  <w:rPr>
                    <w:rFonts w:ascii="Carlito"/>
                    <w:sz w:val="20"/>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92.960022pt;margin-top:543.626038pt;width:16.1pt;height:12pt;mso-position-horizontal-relative:page;mso-position-vertical-relative:page;z-index:-17211392" type="#_x0000_t202" filled="false" stroked="false">
          <v:textbox inset="0,0,0,0">
            <w:txbxContent>
              <w:p>
                <w:pPr>
                  <w:spacing w:line="223" w:lineRule="exact" w:before="0"/>
                  <w:ind w:left="60" w:right="0" w:firstLine="0"/>
                  <w:jc w:val="left"/>
                  <w:rPr>
                    <w:rFonts w:ascii="Carlito"/>
                    <w:sz w:val="20"/>
                  </w:rPr>
                </w:pPr>
                <w:r>
                  <w:rPr/>
                  <w:fldChar w:fldCharType="begin"/>
                </w:r>
                <w:r>
                  <w:rPr>
                    <w:rFonts w:ascii="Carlito"/>
                    <w:sz w:val="20"/>
                  </w:rPr>
                  <w:instrText> PAGE </w:instrText>
                </w:r>
                <w:r>
                  <w:rPr/>
                  <w:fldChar w:fldCharType="separate"/>
                </w:r>
                <w:r>
                  <w:rPr/>
                  <w:t>24</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5.700012pt;margin-top:790.25pt;width:16.1pt;height:12pt;mso-position-horizontal-relative:page;mso-position-vertical-relative:page;z-index:-17209344" type="#_x0000_t202" filled="false" stroked="false">
          <v:textbox inset="0,0,0,0">
            <w:txbxContent>
              <w:p>
                <w:pPr>
                  <w:spacing w:line="223" w:lineRule="exact" w:before="0"/>
                  <w:ind w:left="60" w:right="0" w:firstLine="0"/>
                  <w:jc w:val="left"/>
                  <w:rPr>
                    <w:rFonts w:ascii="Carlito"/>
                    <w:sz w:val="20"/>
                  </w:rPr>
                </w:pPr>
                <w:r>
                  <w:rPr/>
                  <w:fldChar w:fldCharType="begin"/>
                </w:r>
                <w:r>
                  <w:rPr>
                    <w:rFonts w:ascii="Carlito"/>
                    <w:sz w:val="20"/>
                  </w:rPr>
                  <w:instrText> PAGE </w:instrText>
                </w:r>
                <w:r>
                  <w:rPr/>
                  <w:fldChar w:fldCharType="separate"/>
                </w:r>
                <w:r>
                  <w:rPr/>
                  <w:t>26</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5.700012pt;margin-top:790.25pt;width:16.1pt;height:12pt;mso-position-horizontal-relative:page;mso-position-vertical-relative:page;z-index:-17207808" type="#_x0000_t202" filled="false" stroked="false">
          <v:textbox inset="0,0,0,0">
            <w:txbxContent>
              <w:p>
                <w:pPr>
                  <w:spacing w:line="223" w:lineRule="exact" w:before="0"/>
                  <w:ind w:left="60" w:right="0" w:firstLine="0"/>
                  <w:jc w:val="left"/>
                  <w:rPr>
                    <w:rFonts w:ascii="Carlito"/>
                    <w:sz w:val="20"/>
                  </w:rPr>
                </w:pPr>
                <w:r>
                  <w:rPr/>
                  <w:fldChar w:fldCharType="begin"/>
                </w:r>
                <w:r>
                  <w:rPr>
                    <w:rFonts w:ascii="Carlito"/>
                    <w:sz w:val="20"/>
                  </w:rPr>
                  <w:instrText> PAGE </w:instrText>
                </w:r>
                <w:r>
                  <w:rPr/>
                  <w:fldChar w:fldCharType="separate"/>
                </w:r>
                <w:r>
                  <w:rPr/>
                  <w:t>28</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120.260002pt;margin-top:35.764496pt;width:6.35pt;height:57.05pt;mso-position-horizontal-relative:page;mso-position-vertical-relative:page;z-index:-17218048" type="#_x0000_t202" filled="false" stroked="false">
          <v:textbox inset="0,0,0,0">
            <w:txbxContent>
              <w:p>
                <w:pPr>
                  <w:spacing w:line="221" w:lineRule="exact" w:before="0"/>
                  <w:ind w:left="4" w:right="0" w:firstLine="0"/>
                  <w:jc w:val="left"/>
                  <w:rPr>
                    <w:b/>
                    <w:sz w:val="20"/>
                  </w:rPr>
                </w:pPr>
                <w:r>
                  <w:rPr>
                    <w:b/>
                    <w:w w:val="99"/>
                    <w:sz w:val="20"/>
                  </w:rPr>
                  <w:t>P</w:t>
                </w:r>
              </w:p>
              <w:p>
                <w:pPr>
                  <w:spacing w:line="460" w:lineRule="atLeast" w:before="1"/>
                  <w:ind w:left="0" w:right="-9" w:firstLine="4"/>
                  <w:jc w:val="left"/>
                  <w:rPr>
                    <w:b/>
                    <w:sz w:val="20"/>
                  </w:rPr>
                </w:pPr>
                <w:r>
                  <w:rPr>
                    <w:b/>
                    <w:sz w:val="20"/>
                  </w:rPr>
                  <w:t>S S</w:t>
                </w:r>
              </w:p>
            </w:txbxContent>
          </v:textbox>
          <w10:wrap type="none"/>
        </v:shape>
      </w:pict>
    </w:r>
    <w:r>
      <w:rPr/>
      <w:drawing>
        <wp:anchor distT="0" distB="0" distL="0" distR="0" allowOverlap="1" layoutInCell="1" locked="0" behindDoc="1" simplePos="0" relativeHeight="486098944">
          <wp:simplePos x="0" y="0"/>
          <wp:positionH relativeFrom="page">
            <wp:posOffset>533400</wp:posOffset>
          </wp:positionH>
          <wp:positionV relativeFrom="page">
            <wp:posOffset>457199</wp:posOffset>
          </wp:positionV>
          <wp:extent cx="1059180" cy="73152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19.5pt;margin-top:34.764496pt;width:384.25pt;height:59.05pt;mso-position-horizontal-relative:page;mso-position-vertical-relative:page;z-index:-17217024" type="#_x0000_t202" filled="false" stroked="false">
          <v:textbox inset="0,0,0,0">
            <w:txbxContent>
              <w:p>
                <w:pPr>
                  <w:spacing w:before="10"/>
                  <w:ind w:left="142" w:right="0" w:firstLine="0"/>
                  <w:jc w:val="left"/>
                  <w:rPr>
                    <w:b/>
                    <w:sz w:val="20"/>
                  </w:rPr>
                </w:pPr>
                <w:r>
                  <w:rPr>
                    <w:b/>
                    <w:sz w:val="20"/>
                  </w:rPr>
                  <w:t>ODER JUDICIÁRIO</w:t>
                </w:r>
              </w:p>
              <w:p>
                <w:pPr>
                  <w:spacing w:before="1"/>
                  <w:ind w:left="130" w:right="2428" w:hanging="111"/>
                  <w:jc w:val="left"/>
                  <w:rPr>
                    <w:b/>
                    <w:sz w:val="20"/>
                  </w:rPr>
                </w:pPr>
                <w:r>
                  <w:rPr>
                    <w:b/>
                    <w:sz w:val="20"/>
                  </w:rPr>
                  <w:t>TRIBUNAL REGIONAL ELEITORAL DA BAHIA ECRETARIA DE CONTROLE INTERNO E AUDITORIA</w:t>
                </w:r>
              </w:p>
              <w:p>
                <w:pPr>
                  <w:spacing w:before="0"/>
                  <w:ind w:left="125" w:right="16" w:hanging="106"/>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EÇÃO DE</w:t>
                </w:r>
                <w:r>
                  <w:rPr>
                    <w:b/>
                    <w:spacing w:val="-1"/>
                    <w:sz w:val="20"/>
                  </w:rPr>
                  <w:t> </w:t>
                </w:r>
                <w:r>
                  <w:rPr>
                    <w:b/>
                    <w:sz w:val="20"/>
                  </w:rPr>
                  <w:t>AUDITORIA</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99997pt;margin-top:20.164495pt;width:6.65pt;height:57.15pt;mso-position-horizontal-relative:page;mso-position-vertical-relative:page;z-index:-17216512" type="#_x0000_t202" filled="false" stroked="false">
          <v:textbox inset="0,0,0,0">
            <w:txbxContent>
              <w:p>
                <w:pPr>
                  <w:spacing w:line="240" w:lineRule="auto" w:before="0"/>
                  <w:ind w:left="0" w:right="0" w:firstLine="0"/>
                  <w:jc w:val="both"/>
                  <w:rPr>
                    <w:b/>
                    <w:sz w:val="20"/>
                  </w:rPr>
                </w:pPr>
                <w:r>
                  <w:rPr>
                    <w:b/>
                    <w:sz w:val="20"/>
                  </w:rPr>
                  <w:t>P </w:t>
                </w:r>
                <w:r>
                  <w:rPr>
                    <w:b/>
                    <w:w w:val="95"/>
                    <w:sz w:val="20"/>
                  </w:rPr>
                  <w:t>T </w:t>
                </w:r>
                <w:r>
                  <w:rPr>
                    <w:b/>
                    <w:sz w:val="20"/>
                  </w:rPr>
                  <w:t>S</w:t>
                </w:r>
              </w:p>
              <w:p>
                <w:pPr>
                  <w:pStyle w:val="BodyText"/>
                  <w:spacing w:before="3"/>
                  <w:rPr>
                    <w:b/>
                    <w:sz w:val="19"/>
                  </w:rPr>
                </w:pPr>
              </w:p>
              <w:p>
                <w:pPr>
                  <w:spacing w:before="1"/>
                  <w:ind w:left="7" w:right="0" w:firstLine="0"/>
                  <w:jc w:val="left"/>
                  <w:rPr>
                    <w:b/>
                    <w:sz w:val="20"/>
                  </w:rPr>
                </w:pPr>
                <w:r>
                  <w:rPr>
                    <w:b/>
                    <w:w w:val="99"/>
                    <w:sz w:val="20"/>
                  </w:rPr>
                  <w:t>S</w:t>
                </w:r>
              </w:p>
            </w:txbxContent>
          </v:textbox>
          <w10:wrap type="none"/>
        </v:shape>
      </w:pict>
    </w:r>
    <w:r>
      <w:rPr/>
      <w:drawing>
        <wp:anchor distT="0" distB="0" distL="0" distR="0" allowOverlap="1" layoutInCell="1" locked="0" behindDoc="1" simplePos="0" relativeHeight="486100480">
          <wp:simplePos x="0" y="0"/>
          <wp:positionH relativeFrom="page">
            <wp:posOffset>629284</wp:posOffset>
          </wp:positionH>
          <wp:positionV relativeFrom="page">
            <wp:posOffset>257809</wp:posOffset>
          </wp:positionV>
          <wp:extent cx="1059180" cy="731520"/>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26.699997pt;margin-top:19.164495pt;width:384.25pt;height:59.15pt;mso-position-horizontal-relative:page;mso-position-vertical-relative:page;z-index:-17215488" type="#_x0000_t202" filled="false" stroked="false">
          <v:textbox inset="0,0,0,0">
            <w:txbxContent>
              <w:p>
                <w:pPr>
                  <w:spacing w:before="10"/>
                  <w:ind w:left="142" w:right="0" w:firstLine="0"/>
                  <w:jc w:val="left"/>
                  <w:rPr>
                    <w:b/>
                    <w:sz w:val="20"/>
                  </w:rPr>
                </w:pPr>
                <w:r>
                  <w:rPr>
                    <w:b/>
                    <w:sz w:val="20"/>
                  </w:rPr>
                  <w:t>ODER JUDICIÁRIO</w:t>
                </w:r>
              </w:p>
              <w:p>
                <w:pPr>
                  <w:spacing w:before="1"/>
                  <w:ind w:left="130" w:right="2008" w:firstLine="21"/>
                  <w:jc w:val="left"/>
                  <w:rPr>
                    <w:b/>
                    <w:sz w:val="20"/>
                  </w:rPr>
                </w:pPr>
                <w:r>
                  <w:rPr>
                    <w:b/>
                    <w:sz w:val="20"/>
                  </w:rPr>
                  <w:t>RIBUNAL REGIONAL ELEITORAL DA BAHIA ECRETARIA DE CONTROLE INTERNO E AUDITORIA</w:t>
                </w:r>
              </w:p>
              <w:p>
                <w:pPr>
                  <w:spacing w:before="1"/>
                  <w:ind w:left="137" w:right="16" w:hanging="118"/>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EÇÃO DE</w:t>
                </w:r>
                <w:r>
                  <w:rPr>
                    <w:b/>
                    <w:spacing w:val="-1"/>
                    <w:sz w:val="20"/>
                  </w:rPr>
                  <w:t> </w:t>
                </w:r>
                <w:r>
                  <w:rPr>
                    <w:b/>
                    <w:sz w:val="20"/>
                  </w:rPr>
                  <w:t>AUDITORIA</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99997pt;margin-top:20.164495pt;width:6.65pt;height:57.15pt;mso-position-horizontal-relative:page;mso-position-vertical-relative:page;z-index:-17214976" type="#_x0000_t202" filled="false" stroked="false">
          <v:textbox inset="0,0,0,0">
            <w:txbxContent>
              <w:p>
                <w:pPr>
                  <w:spacing w:line="240" w:lineRule="auto" w:before="0"/>
                  <w:ind w:left="0" w:right="0" w:firstLine="0"/>
                  <w:jc w:val="both"/>
                  <w:rPr>
                    <w:b/>
                    <w:sz w:val="20"/>
                  </w:rPr>
                </w:pPr>
                <w:r>
                  <w:rPr>
                    <w:b/>
                    <w:sz w:val="20"/>
                  </w:rPr>
                  <w:t>P </w:t>
                </w:r>
                <w:r>
                  <w:rPr>
                    <w:b/>
                    <w:w w:val="95"/>
                    <w:sz w:val="20"/>
                  </w:rPr>
                  <w:t>T </w:t>
                </w:r>
                <w:r>
                  <w:rPr>
                    <w:b/>
                    <w:sz w:val="20"/>
                  </w:rPr>
                  <w:t>S</w:t>
                </w:r>
              </w:p>
              <w:p>
                <w:pPr>
                  <w:spacing w:before="222"/>
                  <w:ind w:left="7" w:right="0" w:firstLine="0"/>
                  <w:jc w:val="left"/>
                  <w:rPr>
                    <w:b/>
                    <w:sz w:val="20"/>
                  </w:rPr>
                </w:pPr>
                <w:r>
                  <w:rPr>
                    <w:b/>
                    <w:w w:val="99"/>
                    <w:sz w:val="20"/>
                  </w:rPr>
                  <w:t>S</w:t>
                </w:r>
              </w:p>
            </w:txbxContent>
          </v:textbox>
          <w10:wrap type="none"/>
        </v:shape>
      </w:pict>
    </w:r>
    <w:r>
      <w:rPr/>
      <w:drawing>
        <wp:anchor distT="0" distB="0" distL="0" distR="0" allowOverlap="1" layoutInCell="1" locked="0" behindDoc="1" simplePos="0" relativeHeight="486102016">
          <wp:simplePos x="0" y="0"/>
          <wp:positionH relativeFrom="page">
            <wp:posOffset>629284</wp:posOffset>
          </wp:positionH>
          <wp:positionV relativeFrom="page">
            <wp:posOffset>257809</wp:posOffset>
          </wp:positionV>
          <wp:extent cx="1059180" cy="731520"/>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26.699997pt;margin-top:19.164495pt;width:384.25pt;height:59.15pt;mso-position-horizontal-relative:page;mso-position-vertical-relative:page;z-index:-17213952" type="#_x0000_t202" filled="false" stroked="false">
          <v:textbox inset="0,0,0,0">
            <w:txbxContent>
              <w:p>
                <w:pPr>
                  <w:spacing w:before="10"/>
                  <w:ind w:left="142" w:right="0" w:firstLine="0"/>
                  <w:jc w:val="left"/>
                  <w:rPr>
                    <w:b/>
                    <w:sz w:val="20"/>
                  </w:rPr>
                </w:pPr>
                <w:r>
                  <w:rPr>
                    <w:b/>
                    <w:sz w:val="20"/>
                  </w:rPr>
                  <w:t>ODER JUDICIÁRIO</w:t>
                </w:r>
              </w:p>
              <w:p>
                <w:pPr>
                  <w:spacing w:before="1"/>
                  <w:ind w:left="130" w:right="2008" w:firstLine="21"/>
                  <w:jc w:val="left"/>
                  <w:rPr>
                    <w:b/>
                    <w:sz w:val="20"/>
                  </w:rPr>
                </w:pPr>
                <w:r>
                  <w:rPr>
                    <w:b/>
                    <w:sz w:val="20"/>
                  </w:rPr>
                  <w:t>RIBUNAL REGIONAL ELEITORAL DA BAHIA ECRETARIA DE CONTROLE INTERNO E AUDITORIA</w:t>
                </w:r>
              </w:p>
              <w:p>
                <w:pPr>
                  <w:spacing w:before="1"/>
                  <w:ind w:left="137" w:right="16" w:hanging="118"/>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EÇÃO DE</w:t>
                </w:r>
                <w:r>
                  <w:rPr>
                    <w:b/>
                    <w:spacing w:val="-1"/>
                    <w:sz w:val="20"/>
                  </w:rPr>
                  <w:t> </w:t>
                </w:r>
                <w:r>
                  <w:rPr>
                    <w:b/>
                    <w:sz w:val="20"/>
                  </w:rPr>
                  <w:t>AUDITORIA</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14.019997pt;margin-top:20.164518pt;width:7.2pt;height:57.15pt;mso-position-horizontal-relative:page;mso-position-vertical-relative:page;z-index:-17212928" type="#_x0000_t202" filled="false" stroked="false">
          <v:textbox inset="0,0,0,0">
            <w:txbxContent>
              <w:p>
                <w:pPr>
                  <w:spacing w:line="240" w:lineRule="auto" w:before="0"/>
                  <w:ind w:left="0" w:right="0" w:firstLine="0"/>
                  <w:jc w:val="both"/>
                  <w:rPr>
                    <w:b/>
                    <w:sz w:val="20"/>
                  </w:rPr>
                </w:pPr>
                <w:r>
                  <w:rPr>
                    <w:b/>
                    <w:sz w:val="20"/>
                  </w:rPr>
                  <w:t>P T S </w:t>
                </w:r>
                <w:r>
                  <w:rPr>
                    <w:b/>
                    <w:w w:val="95"/>
                    <w:sz w:val="20"/>
                  </w:rPr>
                  <w:t>C </w:t>
                </w:r>
                <w:r>
                  <w:rPr>
                    <w:b/>
                    <w:sz w:val="20"/>
                  </w:rPr>
                  <w:t>S</w:t>
                </w:r>
              </w:p>
            </w:txbxContent>
          </v:textbox>
          <w10:wrap type="none"/>
        </v:shape>
      </w:pict>
    </w:r>
    <w:r>
      <w:rPr/>
      <w:drawing>
        <wp:anchor distT="0" distB="0" distL="0" distR="0" allowOverlap="1" layoutInCell="1" locked="0" behindDoc="1" simplePos="0" relativeHeight="486104064">
          <wp:simplePos x="0" y="0"/>
          <wp:positionH relativeFrom="page">
            <wp:posOffset>476884</wp:posOffset>
          </wp:positionH>
          <wp:positionV relativeFrom="page">
            <wp:posOffset>228600</wp:posOffset>
          </wp:positionV>
          <wp:extent cx="1059180" cy="731520"/>
          <wp:effectExtent l="0" t="0" r="0" b="0"/>
          <wp:wrapNone/>
          <wp:docPr id="7" name="image1.png"/>
          <wp:cNvGraphicFramePr>
            <a:graphicFrameLocks noChangeAspect="1"/>
          </wp:cNvGraphicFramePr>
          <a:graphic>
            <a:graphicData uri="http://schemas.openxmlformats.org/drawingml/2006/picture">
              <pic:pic>
                <pic:nvPicPr>
                  <pic:cNvPr id="8"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18.557762pt;margin-top:19.164518pt;width:416.75pt;height:59.15pt;mso-position-horizontal-relative:page;mso-position-vertical-relative:page;z-index:-17211904" type="#_x0000_t202" filled="false" stroked="false">
          <v:textbox inset="0,0,0,0">
            <w:txbxContent>
              <w:p>
                <w:pPr>
                  <w:spacing w:before="10"/>
                  <w:ind w:left="31" w:right="0" w:firstLine="0"/>
                  <w:jc w:val="left"/>
                  <w:rPr>
                    <w:b/>
                    <w:sz w:val="20"/>
                  </w:rPr>
                </w:pPr>
                <w:r>
                  <w:rPr>
                    <w:b/>
                    <w:sz w:val="20"/>
                  </w:rPr>
                  <w:t>ODER JUDICIÁRIO</w:t>
                </w:r>
              </w:p>
              <w:p>
                <w:pPr>
                  <w:spacing w:before="1"/>
                  <w:ind w:left="20" w:right="2768" w:firstLine="21"/>
                  <w:jc w:val="left"/>
                  <w:rPr>
                    <w:b/>
                    <w:sz w:val="20"/>
                  </w:rPr>
                </w:pPr>
                <w:r>
                  <w:rPr>
                    <w:b/>
                    <w:sz w:val="20"/>
                  </w:rPr>
                  <w:t>RIBUNAL REGIONAL ELEITORAL DA BAHIA ECRETARIA DE CONTROLE INTERNO E AUDITORIA</w:t>
                </w:r>
              </w:p>
              <w:p>
                <w:pPr>
                  <w:spacing w:before="1"/>
                  <w:ind w:left="20" w:right="-6" w:firstLine="33"/>
                  <w:jc w:val="left"/>
                  <w:rPr>
                    <w:b/>
                    <w:sz w:val="20"/>
                  </w:rPr>
                </w:pPr>
                <w:r>
                  <w:rPr>
                    <w:b/>
                    <w:sz w:val="20"/>
                  </w:rPr>
                  <w:t>OORDENADORIA DE AUDITORIA, ACOMPANHAMENTO E ORIENTAÇÃO DA GESTÃO EÇÃO DE AUDITORIA</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99997pt;margin-top:28.684494pt;width:7.2pt;height:57.15pt;mso-position-horizontal-relative:page;mso-position-vertical-relative:page;z-index:-17210880" type="#_x0000_t202" filled="false" stroked="false">
          <v:textbox inset="0,0,0,0">
            <w:txbxContent>
              <w:p>
                <w:pPr>
                  <w:spacing w:line="240" w:lineRule="auto" w:before="0"/>
                  <w:ind w:left="0" w:right="0" w:firstLine="0"/>
                  <w:jc w:val="both"/>
                  <w:rPr>
                    <w:b/>
                    <w:sz w:val="20"/>
                  </w:rPr>
                </w:pPr>
                <w:r>
                  <w:rPr>
                    <w:b/>
                    <w:sz w:val="20"/>
                  </w:rPr>
                  <w:t>P T S </w:t>
                </w:r>
                <w:r>
                  <w:rPr>
                    <w:b/>
                    <w:w w:val="95"/>
                    <w:sz w:val="20"/>
                  </w:rPr>
                  <w:t>C </w:t>
                </w:r>
                <w:r>
                  <w:rPr>
                    <w:b/>
                    <w:sz w:val="20"/>
                  </w:rPr>
                  <w:t>S</w:t>
                </w:r>
              </w:p>
            </w:txbxContent>
          </v:textbox>
          <w10:wrap type="none"/>
        </v:shape>
      </w:pict>
    </w:r>
    <w:r>
      <w:rPr/>
      <w:drawing>
        <wp:anchor distT="0" distB="0" distL="0" distR="0" allowOverlap="1" layoutInCell="1" locked="0" behindDoc="1" simplePos="0" relativeHeight="486106112">
          <wp:simplePos x="0" y="0"/>
          <wp:positionH relativeFrom="page">
            <wp:posOffset>638809</wp:posOffset>
          </wp:positionH>
          <wp:positionV relativeFrom="page">
            <wp:posOffset>313689</wp:posOffset>
          </wp:positionV>
          <wp:extent cx="1059180" cy="731520"/>
          <wp:effectExtent l="0" t="0" r="0" b="0"/>
          <wp:wrapNone/>
          <wp:docPr id="9" name="image1.png"/>
          <wp:cNvGraphicFramePr>
            <a:graphicFrameLocks noChangeAspect="1"/>
          </wp:cNvGraphicFramePr>
          <a:graphic>
            <a:graphicData uri="http://schemas.openxmlformats.org/drawingml/2006/picture">
              <pic:pic>
                <pic:nvPicPr>
                  <pic:cNvPr id="10"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32.237762pt;margin-top:27.684494pt;width:378.7pt;height:59.15pt;mso-position-horizontal-relative:page;mso-position-vertical-relative:page;z-index:-17209856" type="#_x0000_t202" filled="false" stroked="false">
          <v:textbox inset="0,0,0,0">
            <w:txbxContent>
              <w:p>
                <w:pPr>
                  <w:spacing w:before="10"/>
                  <w:ind w:left="31" w:right="0" w:firstLine="0"/>
                  <w:jc w:val="left"/>
                  <w:rPr>
                    <w:b/>
                    <w:sz w:val="20"/>
                  </w:rPr>
                </w:pPr>
                <w:r>
                  <w:rPr>
                    <w:b/>
                    <w:sz w:val="20"/>
                  </w:rPr>
                  <w:t>ODER JUDICIÁRIO</w:t>
                </w:r>
              </w:p>
              <w:p>
                <w:pPr>
                  <w:spacing w:before="1"/>
                  <w:ind w:left="20" w:right="2007" w:firstLine="21"/>
                  <w:jc w:val="left"/>
                  <w:rPr>
                    <w:b/>
                    <w:sz w:val="20"/>
                  </w:rPr>
                </w:pPr>
                <w:r>
                  <w:rPr>
                    <w:b/>
                    <w:sz w:val="20"/>
                  </w:rPr>
                  <w:t>RIBUNAL REGIONAL ELEITORAL DA BAHIA ECRETARIA DE CONTROLE INTERNO E AUDITORIA</w:t>
                </w:r>
              </w:p>
              <w:p>
                <w:pPr>
                  <w:spacing w:before="1"/>
                  <w:ind w:left="20" w:right="15" w:firstLine="21"/>
                  <w:jc w:val="left"/>
                  <w:rPr>
                    <w:b/>
                    <w:sz w:val="20"/>
                  </w:rPr>
                </w:pPr>
                <w:r>
                  <w:rPr>
                    <w:b/>
                    <w:spacing w:val="-11"/>
                    <w:sz w:val="20"/>
                  </w:rPr>
                  <w:t>OORDENADORIA</w:t>
                </w:r>
                <w:r>
                  <w:rPr>
                    <w:b/>
                    <w:spacing w:val="-27"/>
                    <w:sz w:val="20"/>
                  </w:rPr>
                  <w:t> </w:t>
                </w:r>
                <w:r>
                  <w:rPr>
                    <w:b/>
                    <w:spacing w:val="-5"/>
                    <w:sz w:val="20"/>
                  </w:rPr>
                  <w:t>DE</w:t>
                </w:r>
                <w:r>
                  <w:rPr>
                    <w:b/>
                    <w:spacing w:val="-27"/>
                    <w:sz w:val="20"/>
                  </w:rPr>
                  <w:t> </w:t>
                </w:r>
                <w:r>
                  <w:rPr>
                    <w:b/>
                    <w:spacing w:val="-11"/>
                    <w:sz w:val="20"/>
                  </w:rPr>
                  <w:t>AUDITORIA,</w:t>
                </w:r>
                <w:r>
                  <w:rPr>
                    <w:b/>
                    <w:spacing w:val="-26"/>
                    <w:sz w:val="20"/>
                  </w:rPr>
                  <w:t> </w:t>
                </w:r>
                <w:r>
                  <w:rPr>
                    <w:b/>
                    <w:spacing w:val="-11"/>
                    <w:sz w:val="20"/>
                  </w:rPr>
                  <w:t>ACOMPANHAMENTO</w:t>
                </w:r>
                <w:r>
                  <w:rPr>
                    <w:b/>
                    <w:spacing w:val="-25"/>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EÇÃO DE</w:t>
                </w:r>
                <w:r>
                  <w:rPr>
                    <w:b/>
                    <w:spacing w:val="-1"/>
                    <w:sz w:val="20"/>
                  </w:rPr>
                  <w:t> </w:t>
                </w:r>
                <w:r>
                  <w:rPr>
                    <w:b/>
                    <w:sz w:val="20"/>
                  </w:rPr>
                  <w:t>AUDITORIA</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0" simplePos="0" relativeHeight="15737856">
          <wp:simplePos x="0" y="0"/>
          <wp:positionH relativeFrom="page">
            <wp:posOffset>638809</wp:posOffset>
          </wp:positionH>
          <wp:positionV relativeFrom="page">
            <wp:posOffset>313689</wp:posOffset>
          </wp:positionV>
          <wp:extent cx="1059180" cy="731520"/>
          <wp:effectExtent l="0" t="0" r="0" b="0"/>
          <wp:wrapNone/>
          <wp:docPr id="11" name="image1.png"/>
          <wp:cNvGraphicFramePr>
            <a:graphicFrameLocks noChangeAspect="1"/>
          </wp:cNvGraphicFramePr>
          <a:graphic>
            <a:graphicData uri="http://schemas.openxmlformats.org/drawingml/2006/picture">
              <pic:pic>
                <pic:nvPicPr>
                  <pic:cNvPr id="12" name="image1.png"/>
                  <pic:cNvPicPr/>
                </pic:nvPicPr>
                <pic:blipFill>
                  <a:blip r:embed="rId1" cstate="print"/>
                  <a:stretch>
                    <a:fillRect/>
                  </a:stretch>
                </pic:blipFill>
                <pic:spPr>
                  <a:xfrm>
                    <a:off x="0" y="0"/>
                    <a:ext cx="1059180" cy="731520"/>
                  </a:xfrm>
                  <a:prstGeom prst="rect">
                    <a:avLst/>
                  </a:prstGeom>
                </pic:spPr>
              </pic:pic>
            </a:graphicData>
          </a:graphic>
        </wp:anchor>
      </w:drawing>
    </w:r>
    <w:r>
      <w:rPr/>
      <w:pict>
        <v:shape style="position:absolute;margin-left:126.699997pt;margin-top:27.684494pt;width:384.25pt;height:59.15pt;mso-position-horizontal-relative:page;mso-position-vertical-relative:page;z-index:-17208320" type="#_x0000_t202" filled="false" stroked="false">
          <v:textbox inset="0,0,0,0">
            <w:txbxContent>
              <w:p>
                <w:pPr>
                  <w:spacing w:before="10"/>
                  <w:ind w:left="20" w:right="0" w:firstLine="0"/>
                  <w:jc w:val="left"/>
                  <w:rPr>
                    <w:b/>
                    <w:sz w:val="20"/>
                  </w:rPr>
                </w:pPr>
                <w:r>
                  <w:rPr>
                    <w:b/>
                    <w:sz w:val="20"/>
                  </w:rPr>
                  <w:t>PODER JUDICIÁRIO</w:t>
                </w:r>
              </w:p>
              <w:p>
                <w:pPr>
                  <w:spacing w:before="1"/>
                  <w:ind w:left="20" w:right="2008" w:firstLine="0"/>
                  <w:jc w:val="left"/>
                  <w:rPr>
                    <w:b/>
                    <w:sz w:val="20"/>
                  </w:rPr>
                </w:pPr>
                <w:r>
                  <w:rPr>
                    <w:b/>
                    <w:sz w:val="20"/>
                  </w:rPr>
                  <w:t>TRIBUNAL REGIONAL ELEITORAL DA BAHIA SECRETARIA DE CONTROLE INTERNO E AUDITORIA</w:t>
                </w:r>
              </w:p>
              <w:p>
                <w:pPr>
                  <w:spacing w:before="1"/>
                  <w:ind w:left="20" w:right="15" w:firstLine="0"/>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SEÇÃO DE</w:t>
                </w:r>
                <w:r>
                  <w:rPr>
                    <w:b/>
                    <w:spacing w:val="-1"/>
                    <w:sz w:val="20"/>
                  </w:rPr>
                  <w:t> </w:t>
                </w:r>
                <w:r>
                  <w:rPr>
                    <w:b/>
                    <w:sz w:val="20"/>
                  </w:rPr>
                  <w:t>AUDITORIA</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5"/>
      <w:numFmt w:val="decimal"/>
      <w:lvlText w:val="%1"/>
      <w:lvlJc w:val="left"/>
      <w:pPr>
        <w:ind w:left="822" w:hanging="361"/>
        <w:jc w:val="left"/>
      </w:pPr>
      <w:rPr>
        <w:rFonts w:hint="default"/>
        <w:lang w:val="pt-PT" w:eastAsia="en-US" w:bidi="ar-SA"/>
      </w:rPr>
    </w:lvl>
    <w:lvl w:ilvl="1">
      <w:start w:val="1"/>
      <w:numFmt w:val="decimal"/>
      <w:lvlText w:val="%1.%2."/>
      <w:lvlJc w:val="left"/>
      <w:pPr>
        <w:ind w:left="822" w:hanging="361"/>
        <w:jc w:val="left"/>
      </w:pPr>
      <w:rPr>
        <w:rFonts w:hint="default" w:ascii="Times New Roman" w:hAnsi="Times New Roman" w:eastAsia="Times New Roman" w:cs="Times New Roman"/>
        <w:spacing w:val="-28"/>
        <w:w w:val="99"/>
        <w:sz w:val="22"/>
        <w:szCs w:val="22"/>
        <w:lang w:val="pt-PT" w:eastAsia="en-US" w:bidi="ar-SA"/>
      </w:rPr>
    </w:lvl>
    <w:lvl w:ilvl="2">
      <w:start w:val="0"/>
      <w:numFmt w:val="bullet"/>
      <w:lvlText w:val="•"/>
      <w:lvlJc w:val="left"/>
      <w:pPr>
        <w:ind w:left="2401" w:hanging="361"/>
      </w:pPr>
      <w:rPr>
        <w:rFonts w:hint="default"/>
        <w:lang w:val="pt-PT" w:eastAsia="en-US" w:bidi="ar-SA"/>
      </w:rPr>
    </w:lvl>
    <w:lvl w:ilvl="3">
      <w:start w:val="0"/>
      <w:numFmt w:val="bullet"/>
      <w:lvlText w:val="•"/>
      <w:lvlJc w:val="left"/>
      <w:pPr>
        <w:ind w:left="3191" w:hanging="361"/>
      </w:pPr>
      <w:rPr>
        <w:rFonts w:hint="default"/>
        <w:lang w:val="pt-PT" w:eastAsia="en-US" w:bidi="ar-SA"/>
      </w:rPr>
    </w:lvl>
    <w:lvl w:ilvl="4">
      <w:start w:val="0"/>
      <w:numFmt w:val="bullet"/>
      <w:lvlText w:val="•"/>
      <w:lvlJc w:val="left"/>
      <w:pPr>
        <w:ind w:left="3982" w:hanging="361"/>
      </w:pPr>
      <w:rPr>
        <w:rFonts w:hint="default"/>
        <w:lang w:val="pt-PT" w:eastAsia="en-US" w:bidi="ar-SA"/>
      </w:rPr>
    </w:lvl>
    <w:lvl w:ilvl="5">
      <w:start w:val="0"/>
      <w:numFmt w:val="bullet"/>
      <w:lvlText w:val="•"/>
      <w:lvlJc w:val="left"/>
      <w:pPr>
        <w:ind w:left="4773" w:hanging="361"/>
      </w:pPr>
      <w:rPr>
        <w:rFonts w:hint="default"/>
        <w:lang w:val="pt-PT" w:eastAsia="en-US" w:bidi="ar-SA"/>
      </w:rPr>
    </w:lvl>
    <w:lvl w:ilvl="6">
      <w:start w:val="0"/>
      <w:numFmt w:val="bullet"/>
      <w:lvlText w:val="•"/>
      <w:lvlJc w:val="left"/>
      <w:pPr>
        <w:ind w:left="5563" w:hanging="361"/>
      </w:pPr>
      <w:rPr>
        <w:rFonts w:hint="default"/>
        <w:lang w:val="pt-PT" w:eastAsia="en-US" w:bidi="ar-SA"/>
      </w:rPr>
    </w:lvl>
    <w:lvl w:ilvl="7">
      <w:start w:val="0"/>
      <w:numFmt w:val="bullet"/>
      <w:lvlText w:val="•"/>
      <w:lvlJc w:val="left"/>
      <w:pPr>
        <w:ind w:left="6354" w:hanging="361"/>
      </w:pPr>
      <w:rPr>
        <w:rFonts w:hint="default"/>
        <w:lang w:val="pt-PT" w:eastAsia="en-US" w:bidi="ar-SA"/>
      </w:rPr>
    </w:lvl>
    <w:lvl w:ilvl="8">
      <w:start w:val="0"/>
      <w:numFmt w:val="bullet"/>
      <w:lvlText w:val="•"/>
      <w:lvlJc w:val="left"/>
      <w:pPr>
        <w:ind w:left="7145" w:hanging="361"/>
      </w:pPr>
      <w:rPr>
        <w:rFonts w:hint="default"/>
        <w:lang w:val="pt-PT" w:eastAsia="en-US" w:bidi="ar-SA"/>
      </w:rPr>
    </w:lvl>
  </w:abstractNum>
  <w:abstractNum w:abstractNumId="2">
    <w:multiLevelType w:val="hybridMultilevel"/>
    <w:lvl w:ilvl="0">
      <w:start w:val="3"/>
      <w:numFmt w:val="decimal"/>
      <w:lvlText w:val="%1"/>
      <w:lvlJc w:val="left"/>
      <w:pPr>
        <w:ind w:left="522" w:hanging="420"/>
        <w:jc w:val="left"/>
      </w:pPr>
      <w:rPr>
        <w:rFonts w:hint="default"/>
        <w:lang w:val="pt-PT" w:eastAsia="en-US" w:bidi="ar-SA"/>
      </w:rPr>
    </w:lvl>
    <w:lvl w:ilvl="1">
      <w:start w:val="1"/>
      <w:numFmt w:val="decimal"/>
      <w:lvlText w:val="%1.%2."/>
      <w:lvlJc w:val="left"/>
      <w:pPr>
        <w:ind w:left="522" w:hanging="420"/>
        <w:jc w:val="left"/>
      </w:pPr>
      <w:rPr>
        <w:rFonts w:hint="default" w:ascii="Times New Roman" w:hAnsi="Times New Roman" w:eastAsia="Times New Roman" w:cs="Times New Roman"/>
        <w:i/>
        <w:w w:val="100"/>
        <w:sz w:val="24"/>
        <w:szCs w:val="24"/>
        <w:lang w:val="pt-PT" w:eastAsia="en-US" w:bidi="ar-SA"/>
      </w:rPr>
    </w:lvl>
    <w:lvl w:ilvl="2">
      <w:start w:val="0"/>
      <w:numFmt w:val="bullet"/>
      <w:lvlText w:val=""/>
      <w:lvlJc w:val="left"/>
      <w:pPr>
        <w:ind w:left="814" w:hanging="351"/>
      </w:pPr>
      <w:rPr>
        <w:rFonts w:hint="default" w:ascii="Wingdings" w:hAnsi="Wingdings" w:eastAsia="Wingdings" w:cs="Wingdings"/>
        <w:w w:val="100"/>
        <w:sz w:val="24"/>
        <w:szCs w:val="24"/>
        <w:lang w:val="pt-PT" w:eastAsia="en-US" w:bidi="ar-SA"/>
      </w:rPr>
    </w:lvl>
    <w:lvl w:ilvl="3">
      <w:start w:val="0"/>
      <w:numFmt w:val="bullet"/>
      <w:lvlText w:val="•"/>
      <w:lvlJc w:val="left"/>
      <w:pPr>
        <w:ind w:left="2576" w:hanging="351"/>
      </w:pPr>
      <w:rPr>
        <w:rFonts w:hint="default"/>
        <w:lang w:val="pt-PT" w:eastAsia="en-US" w:bidi="ar-SA"/>
      </w:rPr>
    </w:lvl>
    <w:lvl w:ilvl="4">
      <w:start w:val="0"/>
      <w:numFmt w:val="bullet"/>
      <w:lvlText w:val="•"/>
      <w:lvlJc w:val="left"/>
      <w:pPr>
        <w:ind w:left="3455" w:hanging="351"/>
      </w:pPr>
      <w:rPr>
        <w:rFonts w:hint="default"/>
        <w:lang w:val="pt-PT" w:eastAsia="en-US" w:bidi="ar-SA"/>
      </w:rPr>
    </w:lvl>
    <w:lvl w:ilvl="5">
      <w:start w:val="0"/>
      <w:numFmt w:val="bullet"/>
      <w:lvlText w:val="•"/>
      <w:lvlJc w:val="left"/>
      <w:pPr>
        <w:ind w:left="4333" w:hanging="351"/>
      </w:pPr>
      <w:rPr>
        <w:rFonts w:hint="default"/>
        <w:lang w:val="pt-PT" w:eastAsia="en-US" w:bidi="ar-SA"/>
      </w:rPr>
    </w:lvl>
    <w:lvl w:ilvl="6">
      <w:start w:val="0"/>
      <w:numFmt w:val="bullet"/>
      <w:lvlText w:val="•"/>
      <w:lvlJc w:val="left"/>
      <w:pPr>
        <w:ind w:left="5212" w:hanging="351"/>
      </w:pPr>
      <w:rPr>
        <w:rFonts w:hint="default"/>
        <w:lang w:val="pt-PT" w:eastAsia="en-US" w:bidi="ar-SA"/>
      </w:rPr>
    </w:lvl>
    <w:lvl w:ilvl="7">
      <w:start w:val="0"/>
      <w:numFmt w:val="bullet"/>
      <w:lvlText w:val="•"/>
      <w:lvlJc w:val="left"/>
      <w:pPr>
        <w:ind w:left="6090" w:hanging="351"/>
      </w:pPr>
      <w:rPr>
        <w:rFonts w:hint="default"/>
        <w:lang w:val="pt-PT" w:eastAsia="en-US" w:bidi="ar-SA"/>
      </w:rPr>
    </w:lvl>
    <w:lvl w:ilvl="8">
      <w:start w:val="0"/>
      <w:numFmt w:val="bullet"/>
      <w:lvlText w:val="•"/>
      <w:lvlJc w:val="left"/>
      <w:pPr>
        <w:ind w:left="6969" w:hanging="351"/>
      </w:pPr>
      <w:rPr>
        <w:rFonts w:hint="default"/>
        <w:lang w:val="pt-PT" w:eastAsia="en-US" w:bidi="ar-SA"/>
      </w:rPr>
    </w:lvl>
  </w:abstractNum>
  <w:abstractNum w:abstractNumId="1">
    <w:multiLevelType w:val="hybridMultilevel"/>
    <w:lvl w:ilvl="0">
      <w:start w:val="1"/>
      <w:numFmt w:val="decimal"/>
      <w:lvlText w:val="%1"/>
      <w:lvlJc w:val="left"/>
      <w:pPr>
        <w:ind w:left="810" w:hanging="348"/>
        <w:jc w:val="left"/>
      </w:pPr>
      <w:rPr>
        <w:rFonts w:hint="default" w:ascii="Times New Roman" w:hAnsi="Times New Roman" w:eastAsia="Times New Roman" w:cs="Times New Roman"/>
        <w:b/>
        <w:bCs/>
        <w:spacing w:val="-1"/>
        <w:w w:val="99"/>
        <w:sz w:val="24"/>
        <w:szCs w:val="24"/>
        <w:lang w:val="pt-PT" w:eastAsia="en-US" w:bidi="ar-SA"/>
      </w:rPr>
    </w:lvl>
    <w:lvl w:ilvl="1">
      <w:start w:val="1"/>
      <w:numFmt w:val="decimal"/>
      <w:lvlText w:val="%1.%2"/>
      <w:lvlJc w:val="left"/>
      <w:pPr>
        <w:ind w:left="810" w:hanging="351"/>
        <w:jc w:val="left"/>
      </w:pPr>
      <w:rPr>
        <w:rFonts w:hint="default" w:ascii="Times New Roman" w:hAnsi="Times New Roman" w:eastAsia="Times New Roman" w:cs="Times New Roman"/>
        <w:i/>
        <w:w w:val="100"/>
        <w:sz w:val="24"/>
        <w:szCs w:val="24"/>
        <w:lang w:val="pt-PT" w:eastAsia="en-US" w:bidi="ar-SA"/>
      </w:rPr>
    </w:lvl>
    <w:lvl w:ilvl="2">
      <w:start w:val="0"/>
      <w:numFmt w:val="bullet"/>
      <w:lvlText w:val="•"/>
      <w:lvlJc w:val="left"/>
      <w:pPr>
        <w:ind w:left="2401" w:hanging="351"/>
      </w:pPr>
      <w:rPr>
        <w:rFonts w:hint="default"/>
        <w:lang w:val="pt-PT" w:eastAsia="en-US" w:bidi="ar-SA"/>
      </w:rPr>
    </w:lvl>
    <w:lvl w:ilvl="3">
      <w:start w:val="0"/>
      <w:numFmt w:val="bullet"/>
      <w:lvlText w:val="•"/>
      <w:lvlJc w:val="left"/>
      <w:pPr>
        <w:ind w:left="3191" w:hanging="351"/>
      </w:pPr>
      <w:rPr>
        <w:rFonts w:hint="default"/>
        <w:lang w:val="pt-PT" w:eastAsia="en-US" w:bidi="ar-SA"/>
      </w:rPr>
    </w:lvl>
    <w:lvl w:ilvl="4">
      <w:start w:val="0"/>
      <w:numFmt w:val="bullet"/>
      <w:lvlText w:val="•"/>
      <w:lvlJc w:val="left"/>
      <w:pPr>
        <w:ind w:left="3982" w:hanging="351"/>
      </w:pPr>
      <w:rPr>
        <w:rFonts w:hint="default"/>
        <w:lang w:val="pt-PT" w:eastAsia="en-US" w:bidi="ar-SA"/>
      </w:rPr>
    </w:lvl>
    <w:lvl w:ilvl="5">
      <w:start w:val="0"/>
      <w:numFmt w:val="bullet"/>
      <w:lvlText w:val="•"/>
      <w:lvlJc w:val="left"/>
      <w:pPr>
        <w:ind w:left="4773" w:hanging="351"/>
      </w:pPr>
      <w:rPr>
        <w:rFonts w:hint="default"/>
        <w:lang w:val="pt-PT" w:eastAsia="en-US" w:bidi="ar-SA"/>
      </w:rPr>
    </w:lvl>
    <w:lvl w:ilvl="6">
      <w:start w:val="0"/>
      <w:numFmt w:val="bullet"/>
      <w:lvlText w:val="•"/>
      <w:lvlJc w:val="left"/>
      <w:pPr>
        <w:ind w:left="5563" w:hanging="351"/>
      </w:pPr>
      <w:rPr>
        <w:rFonts w:hint="default"/>
        <w:lang w:val="pt-PT" w:eastAsia="en-US" w:bidi="ar-SA"/>
      </w:rPr>
    </w:lvl>
    <w:lvl w:ilvl="7">
      <w:start w:val="0"/>
      <w:numFmt w:val="bullet"/>
      <w:lvlText w:val="•"/>
      <w:lvlJc w:val="left"/>
      <w:pPr>
        <w:ind w:left="6354" w:hanging="351"/>
      </w:pPr>
      <w:rPr>
        <w:rFonts w:hint="default"/>
        <w:lang w:val="pt-PT" w:eastAsia="en-US" w:bidi="ar-SA"/>
      </w:rPr>
    </w:lvl>
    <w:lvl w:ilvl="8">
      <w:start w:val="0"/>
      <w:numFmt w:val="bullet"/>
      <w:lvlText w:val="•"/>
      <w:lvlJc w:val="left"/>
      <w:pPr>
        <w:ind w:left="7145" w:hanging="351"/>
      </w:pPr>
      <w:rPr>
        <w:rFonts w:hint="default"/>
        <w:lang w:val="pt-PT" w:eastAsia="en-US" w:bidi="ar-SA"/>
      </w:rPr>
    </w:lvl>
  </w:abstractNum>
  <w:abstractNum w:abstractNumId="0">
    <w:multiLevelType w:val="hybridMultilevel"/>
    <w:lvl w:ilvl="0">
      <w:start w:val="1"/>
      <w:numFmt w:val="decimal"/>
      <w:lvlText w:val="%1"/>
      <w:lvlJc w:val="left"/>
      <w:pPr>
        <w:ind w:left="541" w:hanging="440"/>
        <w:jc w:val="left"/>
      </w:pPr>
      <w:rPr>
        <w:rFonts w:hint="default" w:ascii="Times New Roman" w:hAnsi="Times New Roman" w:eastAsia="Times New Roman" w:cs="Times New Roman"/>
        <w:spacing w:val="-4"/>
        <w:w w:val="99"/>
        <w:sz w:val="24"/>
        <w:szCs w:val="24"/>
        <w:lang w:val="pt-PT" w:eastAsia="en-US" w:bidi="ar-SA"/>
      </w:rPr>
    </w:lvl>
    <w:lvl w:ilvl="1">
      <w:start w:val="1"/>
      <w:numFmt w:val="decimal"/>
      <w:lvlText w:val="%1.%2"/>
      <w:lvlJc w:val="left"/>
      <w:pPr>
        <w:ind w:left="462" w:hanging="360"/>
        <w:jc w:val="left"/>
      </w:pPr>
      <w:rPr>
        <w:rFonts w:hint="default" w:ascii="Times New Roman" w:hAnsi="Times New Roman" w:eastAsia="Times New Roman" w:cs="Times New Roman"/>
        <w:i/>
        <w:w w:val="100"/>
        <w:sz w:val="24"/>
        <w:szCs w:val="24"/>
        <w:lang w:val="pt-PT" w:eastAsia="en-US" w:bidi="ar-SA"/>
      </w:rPr>
    </w:lvl>
    <w:lvl w:ilvl="2">
      <w:start w:val="0"/>
      <w:numFmt w:val="bullet"/>
      <w:lvlText w:val="•"/>
      <w:lvlJc w:val="left"/>
      <w:pPr>
        <w:ind w:left="1449" w:hanging="360"/>
      </w:pPr>
      <w:rPr>
        <w:rFonts w:hint="default"/>
        <w:lang w:val="pt-PT" w:eastAsia="en-US" w:bidi="ar-SA"/>
      </w:rPr>
    </w:lvl>
    <w:lvl w:ilvl="3">
      <w:start w:val="0"/>
      <w:numFmt w:val="bullet"/>
      <w:lvlText w:val="•"/>
      <w:lvlJc w:val="left"/>
      <w:pPr>
        <w:ind w:left="2359" w:hanging="360"/>
      </w:pPr>
      <w:rPr>
        <w:rFonts w:hint="default"/>
        <w:lang w:val="pt-PT" w:eastAsia="en-US" w:bidi="ar-SA"/>
      </w:rPr>
    </w:lvl>
    <w:lvl w:ilvl="4">
      <w:start w:val="0"/>
      <w:numFmt w:val="bullet"/>
      <w:lvlText w:val="•"/>
      <w:lvlJc w:val="left"/>
      <w:pPr>
        <w:ind w:left="3268" w:hanging="360"/>
      </w:pPr>
      <w:rPr>
        <w:rFonts w:hint="default"/>
        <w:lang w:val="pt-PT" w:eastAsia="en-US" w:bidi="ar-SA"/>
      </w:rPr>
    </w:lvl>
    <w:lvl w:ilvl="5">
      <w:start w:val="0"/>
      <w:numFmt w:val="bullet"/>
      <w:lvlText w:val="•"/>
      <w:lvlJc w:val="left"/>
      <w:pPr>
        <w:ind w:left="4178" w:hanging="360"/>
      </w:pPr>
      <w:rPr>
        <w:rFonts w:hint="default"/>
        <w:lang w:val="pt-PT" w:eastAsia="en-US" w:bidi="ar-SA"/>
      </w:rPr>
    </w:lvl>
    <w:lvl w:ilvl="6">
      <w:start w:val="0"/>
      <w:numFmt w:val="bullet"/>
      <w:lvlText w:val="•"/>
      <w:lvlJc w:val="left"/>
      <w:pPr>
        <w:ind w:left="5088" w:hanging="360"/>
      </w:pPr>
      <w:rPr>
        <w:rFonts w:hint="default"/>
        <w:lang w:val="pt-PT" w:eastAsia="en-US" w:bidi="ar-SA"/>
      </w:rPr>
    </w:lvl>
    <w:lvl w:ilvl="7">
      <w:start w:val="0"/>
      <w:numFmt w:val="bullet"/>
      <w:lvlText w:val="•"/>
      <w:lvlJc w:val="left"/>
      <w:pPr>
        <w:ind w:left="5997" w:hanging="360"/>
      </w:pPr>
      <w:rPr>
        <w:rFonts w:hint="default"/>
        <w:lang w:val="pt-PT" w:eastAsia="en-US" w:bidi="ar-SA"/>
      </w:rPr>
    </w:lvl>
    <w:lvl w:ilvl="8">
      <w:start w:val="0"/>
      <w:numFmt w:val="bullet"/>
      <w:lvlText w:val="•"/>
      <w:lvlJc w:val="left"/>
      <w:pPr>
        <w:ind w:left="6907" w:hanging="360"/>
      </w:pPr>
      <w:rPr>
        <w:rFonts w:hint="default"/>
        <w:lang w:val="pt-PT"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161"/>
      <w:ind w:left="541" w:hanging="440"/>
    </w:pPr>
    <w:rPr>
      <w:rFonts w:ascii="Times New Roman" w:hAnsi="Times New Roman" w:eastAsia="Times New Roman" w:cs="Times New Roman"/>
      <w:sz w:val="24"/>
      <w:szCs w:val="24"/>
      <w:lang w:val="pt-PT" w:eastAsia="en-US" w:bidi="ar-SA"/>
    </w:rPr>
  </w:style>
  <w:style w:styleId="TOC2" w:type="paragraph">
    <w:name w:val="TOC 2"/>
    <w:basedOn w:val="Normal"/>
    <w:uiPriority w:val="1"/>
    <w:qFormat/>
    <w:pPr>
      <w:spacing w:before="240"/>
      <w:ind w:left="462" w:hanging="360"/>
    </w:pPr>
    <w:rPr>
      <w:rFonts w:ascii="Times New Roman" w:hAnsi="Times New Roman" w:eastAsia="Times New Roman" w:cs="Times New Roman"/>
      <w:i/>
      <w:sz w:val="24"/>
      <w:szCs w:val="24"/>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ind w:left="810"/>
      <w:outlineLvl w:val="1"/>
    </w:pPr>
    <w:rPr>
      <w:rFonts w:ascii="Times New Roman" w:hAnsi="Times New Roman" w:eastAsia="Times New Roman" w:cs="Times New Roman"/>
      <w:b/>
      <w:bCs/>
      <w:sz w:val="24"/>
      <w:szCs w:val="24"/>
      <w:lang w:val="pt-PT" w:eastAsia="en-US" w:bidi="ar-SA"/>
    </w:rPr>
  </w:style>
  <w:style w:styleId="Title" w:type="paragraph">
    <w:name w:val="Title"/>
    <w:basedOn w:val="Normal"/>
    <w:uiPriority w:val="1"/>
    <w:qFormat/>
    <w:pPr>
      <w:spacing w:before="89"/>
      <w:ind w:left="171" w:right="190"/>
      <w:jc w:val="center"/>
    </w:pPr>
    <w:rPr>
      <w:rFonts w:ascii="Times New Roman" w:hAnsi="Times New Roman" w:eastAsia="Times New Roman" w:cs="Times New Roman"/>
      <w:b/>
      <w:bCs/>
      <w:sz w:val="28"/>
      <w:szCs w:val="28"/>
      <w:lang w:val="pt-PT" w:eastAsia="en-US" w:bidi="ar-SA"/>
    </w:rPr>
  </w:style>
  <w:style w:styleId="ListParagraph" w:type="paragraph">
    <w:name w:val="List Paragraph"/>
    <w:basedOn w:val="Normal"/>
    <w:uiPriority w:val="1"/>
    <w:qFormat/>
    <w:pPr>
      <w:spacing w:before="120"/>
      <w:ind w:left="810" w:hanging="360"/>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hyperlink" Target="http://sticonhecimento.tse.jus.br/grupos/gt-governanca-de-tic/documentos/contratacoes-de-tic" TargetMode="External"/><Relationship Id="rId10" Type="http://schemas.openxmlformats.org/officeDocument/2006/relationships/header" Target="header4.xml"/><Relationship Id="rId11" Type="http://schemas.openxmlformats.org/officeDocument/2006/relationships/footer" Target="footer2.xml"/><Relationship Id="rId12" Type="http://schemas.openxmlformats.org/officeDocument/2006/relationships/header" Target="header5.xml"/><Relationship Id="rId13" Type="http://schemas.openxmlformats.org/officeDocument/2006/relationships/footer" Target="footer3.xml"/><Relationship Id="rId14" Type="http://schemas.openxmlformats.org/officeDocument/2006/relationships/hyperlink" Target="http://www.cnj.jus.br/atos-" TargetMode="External"/><Relationship Id="rId15" Type="http://schemas.openxmlformats.org/officeDocument/2006/relationships/hyperlink" Target="http://www.cnj.jus.br/atos-administrativos/atos-da-" TargetMode="External"/><Relationship Id="rId16" Type="http://schemas.openxmlformats.org/officeDocument/2006/relationships/hyperlink" Target="http://intranet.tre-ba.gov.br/institucional/gestao-" TargetMode="External"/><Relationship Id="rId17" Type="http://schemas.openxmlformats.org/officeDocument/2006/relationships/hyperlink" Target="http://intranet.tre-ba.gov.br/normas-e-documentacoes-1/normas-" TargetMode="External"/><Relationship Id="rId18" Type="http://schemas.openxmlformats.org/officeDocument/2006/relationships/hyperlink" Target="http://www.governoeletronico.gov.br/" TargetMode="External"/><Relationship Id="rId19" Type="http://schemas.openxmlformats.org/officeDocument/2006/relationships/header" Target="header6.xml"/><Relationship Id="rId20" Type="http://schemas.openxmlformats.org/officeDocument/2006/relationships/footer" Target="footer4.xml"/><Relationship Id="rId2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dc:creator>
  <dc:title>RELATÓRIO PRELIMINAR DE AUDITORIA DE AVALIAÇÃO DE EXECUÇÃO DE OBRAS DO TRE-BA – PAAA2014</dc:title>
  <dcterms:created xsi:type="dcterms:W3CDTF">2021-05-14T12:32:40Z</dcterms:created>
  <dcterms:modified xsi:type="dcterms:W3CDTF">2021-05-14T12:32:40Z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2020-12-10T00:00:00Z</vt:filetime>
  </property>
  <property fmtid="{D5CDD505-2E9C-101B-9397-08002B2CF9AE}" pid="3" name="Creator">
    <vt:lpwstr>Microsoft® Word 2010</vt:lpwstr>
  </property>
  <property fmtid="{D5CDD505-2E9C-101B-9397-08002B2CF9AE}" pid="4" name="LastSaved">
    <vt:filetime>2021-05-14T00:00:00Z</vt:filetime>
  </property>
</Properties>
</file>