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1E" w:rsidRDefault="001877EC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-711199</wp:posOffset>
                </wp:positionH>
                <wp:positionV relativeFrom="paragraph">
                  <wp:posOffset>-1600199</wp:posOffset>
                </wp:positionV>
                <wp:extent cx="1267460" cy="10734675"/>
                <wp:effectExtent l="0" t="0" r="0" b="0"/>
                <wp:wrapSquare wrapText="bothSides" distT="0" distB="0" distL="114300" distR="11430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7033" y="0"/>
                          <a:ext cx="1257935" cy="75600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00000"/>
                            </a:gs>
                            <a:gs pos="100000">
                              <a:srgbClr val="2A6099"/>
                            </a:gs>
                          </a:gsLst>
                          <a:lin ang="21480000" scaled="0"/>
                        </a:gradFill>
                        <a:ln w="9525" cap="flat" cmpd="sng">
                          <a:solidFill>
                            <a:srgbClr val="3465A4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E6C1E" w:rsidRDefault="002E6C1E">
                            <w:pPr>
                              <w:spacing w:before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-711199</wp:posOffset>
                </wp:positionH>
                <wp:positionV relativeFrom="paragraph">
                  <wp:posOffset>-1600199</wp:posOffset>
                </wp:positionV>
                <wp:extent cx="1267460" cy="10734675"/>
                <wp:effectExtent b="0" l="0" r="0" t="0"/>
                <wp:wrapSquare wrapText="bothSides" distB="0" distT="0" distL="114300" distR="11430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460" cy="10734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E6C1E" w:rsidRDefault="002E6C1E"/>
    <w:p w:rsidR="002E6C1E" w:rsidRDefault="002E6C1E"/>
    <w:p w:rsidR="002E6C1E" w:rsidRDefault="002E6C1E"/>
    <w:p w:rsidR="002E6C1E" w:rsidRDefault="002E6C1E"/>
    <w:p w:rsidR="002E6C1E" w:rsidRDefault="002E6C1E"/>
    <w:p w:rsidR="002E6C1E" w:rsidRDefault="00845A5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78881D7" wp14:editId="4AEA06D9">
                <wp:simplePos x="0" y="0"/>
                <wp:positionH relativeFrom="column">
                  <wp:posOffset>116793</wp:posOffset>
                </wp:positionH>
                <wp:positionV relativeFrom="paragraph">
                  <wp:posOffset>336901</wp:posOffset>
                </wp:positionV>
                <wp:extent cx="5838825" cy="3418764"/>
                <wp:effectExtent l="0" t="0" r="0" b="0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3418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6C1E" w:rsidRDefault="001877EC">
                            <w:pPr>
                              <w:spacing w:before="0" w:line="240" w:lineRule="auto"/>
                              <w:jc w:val="both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Calibri" w:eastAsia="Calibri" w:hAnsi="Calibri" w:cs="Calibri"/>
                                <w:b/>
                                <w:color w:val="042E5B"/>
                                <w:sz w:val="52"/>
                              </w:rPr>
                              <w:t>RELATÓRIO DO MONITORAMENTO DA AUDITORIA COORDENADA DO CONSELHO NACIONAL DE JUSTIÇA/PODER JUDICIÁRIO - GESTÃO DOCUMENTAL - EXERCÍCIO 2019 (PAA2021)</w:t>
                            </w:r>
                          </w:p>
                          <w:bookmarkEnd w:id="0"/>
                          <w:p w:rsidR="002E6C1E" w:rsidRDefault="002E6C1E">
                            <w:pPr>
                              <w:spacing w:before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1" o:spid="_x0000_s1027" style="position:absolute;margin-left:9.2pt;margin-top:26.55pt;width:459.75pt;height:269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" filled="f" stroked="f">
                <v:textbox inset="2.53958mm,1.2694mm,2.53958mm,1.2694mm">
                  <w:txbxContent>
                    <w:p w:rsidR="002E6C1E" w:rsidRDefault="001877EC">
                      <w:pPr>
                        <w:spacing w:before="0" w:line="240" w:lineRule="auto"/>
                        <w:jc w:val="both"/>
                        <w:textDirection w:val="btLr"/>
                      </w:pPr>
                      <w:bookmarkStart w:id="1" w:name="_GoBack"/>
                      <w:r>
                        <w:rPr>
                          <w:rFonts w:ascii="Calibri" w:eastAsia="Calibri" w:hAnsi="Calibri" w:cs="Calibri"/>
                          <w:b/>
                          <w:color w:val="042E5B"/>
                          <w:sz w:val="52"/>
                        </w:rPr>
                        <w:t>RELATÓRIO DO MONITORAMENTO DA AUDITORIA COORDENADA DO CONSELHO NACIONAL DE JUSTIÇA/PODER JUDICIÁRIO - GESTÃO DOCUMENTAL - EXERCÍCIO 2019 (PAA2021)</w:t>
                      </w:r>
                    </w:p>
                    <w:bookmarkEnd w:id="1"/>
                    <w:p w:rsidR="002E6C1E" w:rsidRDefault="002E6C1E">
                      <w:pPr>
                        <w:spacing w:before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2E6C1E" w:rsidRDefault="002E6C1E"/>
    <w:p w:rsidR="002E6C1E" w:rsidRDefault="002E6C1E"/>
    <w:p w:rsidR="002E6C1E" w:rsidRDefault="002E6C1E"/>
    <w:p w:rsidR="002E6C1E" w:rsidRDefault="002E6C1E"/>
    <w:p w:rsidR="002E6C1E" w:rsidRDefault="002E6C1E"/>
    <w:p w:rsidR="002E6C1E" w:rsidRDefault="002E6C1E"/>
    <w:p w:rsidR="002E6C1E" w:rsidRDefault="002E6C1E"/>
    <w:p w:rsidR="002E6C1E" w:rsidRDefault="002E6C1E"/>
    <w:p w:rsidR="002E6C1E" w:rsidRDefault="002E6C1E"/>
    <w:p w:rsidR="002E6C1E" w:rsidRDefault="002E6C1E"/>
    <w:p w:rsidR="002E6C1E" w:rsidRDefault="002E6C1E"/>
    <w:p w:rsidR="002E6C1E" w:rsidRDefault="002E6C1E"/>
    <w:p w:rsidR="002E6C1E" w:rsidRDefault="001877EC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2127413</wp:posOffset>
                </wp:positionH>
                <wp:positionV relativeFrom="paragraph">
                  <wp:posOffset>186902</wp:posOffset>
                </wp:positionV>
                <wp:extent cx="1829435" cy="853104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6045" y="3456150"/>
                          <a:ext cx="181991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6C1E" w:rsidRDefault="001877EC">
                            <w:pPr>
                              <w:spacing w:before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42E5B"/>
                                <w:sz w:val="40"/>
                              </w:rPr>
                              <w:t>JUNHO</w:t>
                            </w:r>
                          </w:p>
                          <w:p w:rsidR="002E6C1E" w:rsidRDefault="001877EC">
                            <w:pPr>
                              <w:spacing w:before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42E5B"/>
                                <w:sz w:val="40"/>
                              </w:rPr>
                              <w:t>2021</w:t>
                            </w:r>
                          </w:p>
                          <w:p w:rsidR="002E6C1E" w:rsidRDefault="002E6C1E">
                            <w:pPr>
                              <w:spacing w:before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2127413</wp:posOffset>
                </wp:positionH>
                <wp:positionV relativeFrom="paragraph">
                  <wp:posOffset>186902</wp:posOffset>
                </wp:positionV>
                <wp:extent cx="1829435" cy="853104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9435" cy="85310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E6C1E" w:rsidRDefault="002E6C1E"/>
    <w:p w:rsidR="002E6C1E" w:rsidRDefault="002E6C1E"/>
    <w:p w:rsidR="002E6C1E" w:rsidRDefault="002E6C1E"/>
    <w:p w:rsidR="002E6C1E" w:rsidRDefault="002E6C1E"/>
    <w:p w:rsidR="002E6C1E" w:rsidRDefault="001877EC">
      <w:pPr>
        <w:jc w:val="both"/>
        <w:rPr>
          <w:b/>
        </w:rPr>
      </w:pPr>
      <w:r>
        <w:rPr>
          <w:b/>
        </w:rPr>
        <w:t>RELATÓRIO DO MONITORAMENTO DA AUDITORIA COORDENADA DO CONSELHO NACIONAL DE JUSTIÇA/PODER JUDICIÁRIO - GESTÃO DOCUMENTAL - EXERCÍCIO 2019 (PAA2021)</w:t>
      </w:r>
      <w:r>
        <w:rPr>
          <w:noProof/>
        </w:rPr>
        <mc:AlternateContent>
          <mc:Choice Requires="wpg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-76199</wp:posOffset>
                </wp:positionH>
                <wp:positionV relativeFrom="paragraph">
                  <wp:posOffset>3630</wp:posOffset>
                </wp:positionV>
                <wp:extent cx="6191250" cy="190500"/>
                <wp:effectExtent l="0" t="0" r="0" b="0"/>
                <wp:wrapSquare wrapText="bothSides" distT="0" distB="0" distL="0" distR="0"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6191250"/>
                        </a:xfrm>
                        <a:prstGeom prst="rect">
                          <a:avLst/>
                        </a:prstGeom>
                        <a:noFill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3630</wp:posOffset>
                </wp:positionV>
                <wp:extent cx="6191250" cy="190500"/>
                <wp:effectExtent b="0" l="0" r="0" t="0"/>
                <wp:wrapSquare wrapText="bothSides" distB="0" distT="0" distL="0" distR="0"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0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E6C1E" w:rsidRDefault="002E6C1E">
      <w:pPr>
        <w:jc w:val="center"/>
        <w:rPr>
          <w:b/>
        </w:rPr>
      </w:pPr>
    </w:p>
    <w:p w:rsidR="002E6C1E" w:rsidRDefault="001877EC">
      <w:pPr>
        <w:spacing w:after="200"/>
        <w:jc w:val="both"/>
      </w:pPr>
      <w:r>
        <w:t>Trata-se de Relatório do Monitoramento da Auditoria Coordenada do Conselho Nacional de Justiça (CNJ</w:t>
      </w:r>
      <w:proofErr w:type="gramStart"/>
      <w:r>
        <w:t>)</w:t>
      </w:r>
      <w:proofErr w:type="gramEnd"/>
      <w:r>
        <w:t xml:space="preserve">/Poder </w:t>
      </w:r>
      <w:r>
        <w:t xml:space="preserve">Judiciário – Gestão Documental, realizado em cumprimento ao Plano Anual de Auditoria referente a 2021 </w:t>
      </w:r>
      <w:hyperlink r:id="rId10">
        <w:r>
          <w:rPr>
            <w:color w:val="1155CC"/>
            <w:u w:val="single"/>
          </w:rPr>
          <w:t>(PAA2021)</w:t>
        </w:r>
      </w:hyperlink>
      <w:r>
        <w:t xml:space="preserve">, aprovado por meio da </w:t>
      </w:r>
      <w:hyperlink r:id="rId11">
        <w:r>
          <w:rPr>
            <w:color w:val="1155CC"/>
            <w:u w:val="single"/>
          </w:rPr>
          <w:t>Portaria da Presidência do TRE-BA nº 450, de 27 de novembro de 2021</w:t>
        </w:r>
      </w:hyperlink>
      <w:r>
        <w:t>, executado pela Seção de Auditoria de Governança e Gestão Organizacional (SEAGO).</w:t>
      </w:r>
    </w:p>
    <w:tbl>
      <w:tblPr>
        <w:tblStyle w:val="a"/>
        <w:tblW w:w="9420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5"/>
        <w:gridCol w:w="4050"/>
        <w:gridCol w:w="2955"/>
      </w:tblGrid>
      <w:tr w:rsidR="002E6C1E">
        <w:tc>
          <w:tcPr>
            <w:tcW w:w="9420" w:type="dxa"/>
            <w:gridSpan w:val="3"/>
            <w:shd w:val="clear" w:color="auto" w:fill="8EBAE2"/>
            <w:vAlign w:val="center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</w:pPr>
            <w:r>
              <w:rPr>
                <w:b/>
              </w:rPr>
              <w:t>EQUIPE DE TRABALHO</w:t>
            </w:r>
          </w:p>
        </w:tc>
      </w:tr>
      <w:tr w:rsidR="002E6C1E">
        <w:tc>
          <w:tcPr>
            <w:tcW w:w="2415" w:type="dxa"/>
            <w:shd w:val="clear" w:color="auto" w:fill="B2B2B2"/>
            <w:vAlign w:val="center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</w:pPr>
            <w:r>
              <w:rPr>
                <w:b/>
              </w:rPr>
              <w:t>Seçã</w:t>
            </w:r>
            <w:r>
              <w:rPr>
                <w:b/>
              </w:rPr>
              <w:t>o de lotação</w:t>
            </w:r>
          </w:p>
        </w:tc>
        <w:tc>
          <w:tcPr>
            <w:tcW w:w="4050" w:type="dxa"/>
            <w:shd w:val="clear" w:color="auto" w:fill="B2B2B2"/>
            <w:vAlign w:val="center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</w:pPr>
            <w:r>
              <w:rPr>
                <w:b/>
              </w:rPr>
              <w:t>Nome</w:t>
            </w:r>
          </w:p>
        </w:tc>
        <w:tc>
          <w:tcPr>
            <w:tcW w:w="2955" w:type="dxa"/>
            <w:shd w:val="clear" w:color="auto" w:fill="B2B2B2"/>
            <w:vAlign w:val="center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</w:pPr>
            <w:r>
              <w:rPr>
                <w:b/>
              </w:rPr>
              <w:t>Função</w:t>
            </w:r>
          </w:p>
        </w:tc>
      </w:tr>
      <w:tr w:rsidR="002E6C1E">
        <w:tc>
          <w:tcPr>
            <w:tcW w:w="2415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</w:pPr>
            <w:r>
              <w:rPr>
                <w:b/>
              </w:rPr>
              <w:t>COORDENADORIA</w:t>
            </w:r>
          </w:p>
        </w:tc>
        <w:tc>
          <w:tcPr>
            <w:tcW w:w="4050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both"/>
            </w:pPr>
            <w:proofErr w:type="spellStart"/>
            <w:r>
              <w:t>Catiuscia</w:t>
            </w:r>
            <w:proofErr w:type="spellEnd"/>
            <w:r>
              <w:t xml:space="preserve"> Dantas Abreu Oliveira</w:t>
            </w:r>
          </w:p>
        </w:tc>
        <w:tc>
          <w:tcPr>
            <w:tcW w:w="2955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</w:pPr>
            <w:r>
              <w:t>Supervisora</w:t>
            </w:r>
          </w:p>
        </w:tc>
      </w:tr>
      <w:tr w:rsidR="002E6C1E">
        <w:tc>
          <w:tcPr>
            <w:tcW w:w="2415" w:type="dxa"/>
            <w:vMerge w:val="restart"/>
            <w:vAlign w:val="center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</w:pPr>
            <w:r>
              <w:rPr>
                <w:b/>
              </w:rPr>
              <w:t>SEAGO</w:t>
            </w:r>
          </w:p>
        </w:tc>
        <w:tc>
          <w:tcPr>
            <w:tcW w:w="4050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Ricardo Nascimento </w:t>
            </w:r>
            <w:proofErr w:type="spellStart"/>
            <w:r>
              <w:rPr>
                <w:highlight w:val="white"/>
              </w:rPr>
              <w:t>Cantharino</w:t>
            </w:r>
            <w:proofErr w:type="spellEnd"/>
          </w:p>
        </w:tc>
        <w:tc>
          <w:tcPr>
            <w:tcW w:w="2955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 Líder de Equipe</w:t>
            </w:r>
          </w:p>
        </w:tc>
      </w:tr>
      <w:tr w:rsidR="002E6C1E">
        <w:trPr>
          <w:trHeight w:val="724"/>
        </w:trPr>
        <w:tc>
          <w:tcPr>
            <w:tcW w:w="2415" w:type="dxa"/>
            <w:vMerge/>
            <w:vAlign w:val="center"/>
          </w:tcPr>
          <w:p w:rsidR="002E6C1E" w:rsidRDefault="002E6C1E">
            <w:pPr>
              <w:widowControl w:val="0"/>
              <w:spacing w:before="0"/>
            </w:pPr>
          </w:p>
        </w:tc>
        <w:tc>
          <w:tcPr>
            <w:tcW w:w="4050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both"/>
            </w:pPr>
            <w:r>
              <w:t xml:space="preserve">Andréa Barbosa de </w:t>
            </w:r>
            <w:proofErr w:type="spellStart"/>
            <w:r>
              <w:t>Argôlo</w:t>
            </w:r>
            <w:proofErr w:type="spellEnd"/>
          </w:p>
        </w:tc>
        <w:tc>
          <w:tcPr>
            <w:tcW w:w="2955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</w:pPr>
            <w:r>
              <w:t>Auditora</w:t>
            </w:r>
          </w:p>
        </w:tc>
      </w:tr>
      <w:tr w:rsidR="002E6C1E">
        <w:tc>
          <w:tcPr>
            <w:tcW w:w="2415" w:type="dxa"/>
            <w:vMerge/>
            <w:vAlign w:val="center"/>
          </w:tcPr>
          <w:p w:rsidR="002E6C1E" w:rsidRDefault="002E6C1E">
            <w:pPr>
              <w:widowControl w:val="0"/>
              <w:spacing w:before="0"/>
            </w:pPr>
          </w:p>
        </w:tc>
        <w:tc>
          <w:tcPr>
            <w:tcW w:w="4050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both"/>
            </w:pPr>
            <w:r>
              <w:t>Arlete Alves Ribeiro Carvalho</w:t>
            </w:r>
          </w:p>
        </w:tc>
        <w:tc>
          <w:tcPr>
            <w:tcW w:w="2955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</w:pPr>
            <w:r>
              <w:t xml:space="preserve">Auditora </w:t>
            </w:r>
          </w:p>
        </w:tc>
      </w:tr>
      <w:tr w:rsidR="002E6C1E">
        <w:tc>
          <w:tcPr>
            <w:tcW w:w="2415" w:type="dxa"/>
            <w:vMerge/>
            <w:vAlign w:val="center"/>
          </w:tcPr>
          <w:p w:rsidR="002E6C1E" w:rsidRDefault="002E6C1E">
            <w:pPr>
              <w:widowControl w:val="0"/>
              <w:spacing w:before="0"/>
            </w:pPr>
          </w:p>
        </w:tc>
        <w:tc>
          <w:tcPr>
            <w:tcW w:w="4050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both"/>
            </w:pPr>
            <w:r>
              <w:t>Geraldo Majella Nunes de Moura</w:t>
            </w:r>
          </w:p>
        </w:tc>
        <w:tc>
          <w:tcPr>
            <w:tcW w:w="2955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</w:pPr>
            <w:r>
              <w:t>Auditor</w:t>
            </w:r>
          </w:p>
        </w:tc>
      </w:tr>
      <w:tr w:rsidR="002E6C1E">
        <w:tc>
          <w:tcPr>
            <w:tcW w:w="2415" w:type="dxa"/>
            <w:vMerge/>
            <w:vAlign w:val="center"/>
          </w:tcPr>
          <w:p w:rsidR="002E6C1E" w:rsidRDefault="002E6C1E">
            <w:pPr>
              <w:widowControl w:val="0"/>
              <w:spacing w:before="0"/>
            </w:pPr>
          </w:p>
        </w:tc>
        <w:tc>
          <w:tcPr>
            <w:tcW w:w="4050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both"/>
            </w:pPr>
            <w:r>
              <w:t>Mariana Almeida Mascarenhas</w:t>
            </w:r>
          </w:p>
        </w:tc>
        <w:tc>
          <w:tcPr>
            <w:tcW w:w="2955" w:type="dxa"/>
          </w:tcPr>
          <w:p w:rsidR="002E6C1E" w:rsidRDefault="001877EC">
            <w:pPr>
              <w:tabs>
                <w:tab w:val="left" w:pos="2410"/>
              </w:tabs>
              <w:spacing w:before="120"/>
              <w:jc w:val="center"/>
            </w:pPr>
            <w:r>
              <w:t>Auditora</w:t>
            </w:r>
          </w:p>
        </w:tc>
      </w:tr>
    </w:tbl>
    <w:p w:rsidR="002E6C1E" w:rsidRDefault="001877EC">
      <w:r>
        <w:br w:type="page"/>
      </w:r>
    </w:p>
    <w:p w:rsidR="002E6C1E" w:rsidRDefault="001877EC">
      <w:pPr>
        <w:pBdr>
          <w:top w:val="single" w:sz="8" w:space="2" w:color="000000"/>
          <w:left w:val="single" w:sz="8" w:space="2" w:color="000000"/>
          <w:bottom w:val="single" w:sz="8" w:space="2" w:color="000000"/>
          <w:right w:val="single" w:sz="8" w:space="2" w:color="000000"/>
        </w:pBdr>
        <w:shd w:val="clear" w:color="auto" w:fill="073763"/>
        <w:jc w:val="center"/>
        <w:rPr>
          <w:b/>
          <w:color w:val="FFFFFF"/>
        </w:rPr>
      </w:pPr>
      <w:r>
        <w:rPr>
          <w:b/>
          <w:color w:val="FFFFFF"/>
        </w:rPr>
        <w:lastRenderedPageBreak/>
        <w:t>RESUMO DA AUDITORIA REALIZADA</w:t>
      </w:r>
    </w:p>
    <w:p w:rsidR="002E6C1E" w:rsidRDefault="001877EC">
      <w:pPr>
        <w:rPr>
          <w:b/>
        </w:rPr>
      </w:pPr>
      <w:r>
        <w:rPr>
          <w:b/>
        </w:rPr>
        <w:t>O QUE A UNIDADE DE AUDITORIA DO TRE-BA FISCALIZOU?</w:t>
      </w:r>
    </w:p>
    <w:p w:rsidR="002E6C1E" w:rsidRDefault="001877EC">
      <w:pPr>
        <w:jc w:val="both"/>
        <w:rPr>
          <w:strike/>
        </w:rPr>
        <w:sectPr w:rsidR="002E6C1E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2455" w:right="1191" w:bottom="1134" w:left="1134" w:header="1134" w:footer="556" w:gutter="0"/>
          <w:pgNumType w:start="1"/>
          <w:cols w:space="720"/>
          <w:titlePg/>
        </w:sectPr>
      </w:pPr>
      <w:r>
        <w:t>A Auditoria Coordenada do Conselho Nacional de Justiça (CNJ</w:t>
      </w:r>
      <w:proofErr w:type="gramStart"/>
      <w:r>
        <w:t>)</w:t>
      </w:r>
      <w:proofErr w:type="gramEnd"/>
      <w:r>
        <w:t>/Poder Judiciário – Gestão Documental - Exercício 2019, foi realizada pela Seção de Auditoria de Governança e Gestão Organizacional (SEAGO), com o objetivo de avaliar a criação, manutenção, utiliz</w:t>
      </w:r>
      <w:r>
        <w:t xml:space="preserve">ação e prazos de conservação dos documentos que são gerados e o encaminhamento final para conservação permanente ou descarte e, ainda, as rotinas para gerenciamento dos acervos de documentos administrativos e de processos ligados à atividade fim do Órgão, </w:t>
      </w:r>
      <w:r>
        <w:t>como forma de apoio à decisão, à preservação da memória institucional e à comprovação de direitos.</w:t>
      </w:r>
      <w:r>
        <w:rPr>
          <w:strike/>
        </w:rPr>
        <w:t xml:space="preserve">  </w:t>
      </w:r>
    </w:p>
    <w:p w:rsidR="002E6C1E" w:rsidRDefault="001877EC">
      <w:pPr>
        <w:spacing w:before="200" w:after="120"/>
        <w:jc w:val="both"/>
      </w:pPr>
      <w:r>
        <w:lastRenderedPageBreak/>
        <w:t>Constituíram objetivos específicos da sobredita auditoria, consoante programa de Auditoria padronizado pelo CNJ e respectivas questões de auditoria propost</w:t>
      </w:r>
      <w:r>
        <w:t>as, avaliar: a estrutura organizacional do Órgão para promover a gestão documental, de modo que as informações estejam disponíveis como forma de apoio à decisão, à preservação da memória institucional e à comprovação de direitos; se o Órgão promove a Gestã</w:t>
      </w:r>
      <w:r>
        <w:t>o de Processos e Documentos de acordo com as orientações da Recomendação CNJ nº 37/2011 e do Manual de Gestão Documental do Poder Judiciário; se os sistemas informatizados de gestão documental atendem aos padrões estabelecidos pelo Modelo de Requisitos par</w:t>
      </w:r>
      <w:r>
        <w:t xml:space="preserve">a Sistemas Informatizados de Gestão de Processos e Documentos do Judiciário brasileiro – </w:t>
      </w:r>
      <w:proofErr w:type="spellStart"/>
      <w:proofErr w:type="gramStart"/>
      <w:r>
        <w:t>MoReq</w:t>
      </w:r>
      <w:proofErr w:type="spellEnd"/>
      <w:proofErr w:type="gramEnd"/>
      <w:r>
        <w:t>/Jus, instituído pela Resolução CNJ nº 91/2009; se o Órgão, no processo de gestão documental, observa as normas estabelecidas pela Lei nº 12.527/2011 – Lei de Ace</w:t>
      </w:r>
      <w:r>
        <w:t>sso à Informação (LAI); e se o Órgão gerencia os dados cadastrais dos servidores de modo eficiente, eliminando a duplicidade de documentos, facilitando a distribuição de informações entre setores e garantindo o grau de sigilo necessário.</w:t>
      </w:r>
    </w:p>
    <w:p w:rsidR="002E6C1E" w:rsidRDefault="001877EC">
      <w:pPr>
        <w:jc w:val="both"/>
        <w:rPr>
          <w:b/>
        </w:rPr>
      </w:pPr>
      <w:r>
        <w:rPr>
          <w:b/>
        </w:rPr>
        <w:t>ESCOPO DA AUDITORIA REALIZADA</w:t>
      </w:r>
    </w:p>
    <w:p w:rsidR="002E6C1E" w:rsidRDefault="001877EC">
      <w:pPr>
        <w:spacing w:before="200" w:after="120" w:line="240" w:lineRule="auto"/>
        <w:jc w:val="both"/>
        <w:sectPr w:rsidR="002E6C1E">
          <w:type w:val="continuous"/>
          <w:pgSz w:w="11906" w:h="16838"/>
          <w:pgMar w:top="2455" w:right="1191" w:bottom="1134" w:left="1134" w:header="1134" w:footer="556" w:gutter="0"/>
          <w:cols w:space="720"/>
        </w:sectPr>
      </w:pPr>
      <w:r>
        <w:t>Foram analisados os sistemas informatizados de gestão de processos e documentos e as rotinas das unidades orgânicas envolvidas no processo de gestão documental, de modo a avaliar a aderência às normas vigent</w:t>
      </w:r>
      <w:r>
        <w:t>es e a eficácia das rotinas adotadas.</w:t>
      </w:r>
      <w:proofErr w:type="gramStart"/>
    </w:p>
    <w:p w:rsidR="002E6C1E" w:rsidRDefault="001877EC">
      <w:proofErr w:type="gramEnd"/>
      <w:r>
        <w:lastRenderedPageBreak/>
        <w:br w:type="page"/>
      </w:r>
    </w:p>
    <w:p w:rsidR="002E6C1E" w:rsidRDefault="002E6C1E"/>
    <w:p w:rsidR="002E6C1E" w:rsidRDefault="002E6C1E"/>
    <w:tbl>
      <w:tblPr>
        <w:tblStyle w:val="a0"/>
        <w:tblW w:w="9581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81"/>
      </w:tblGrid>
      <w:tr w:rsidR="002E6C1E">
        <w:tc>
          <w:tcPr>
            <w:tcW w:w="9581" w:type="dxa"/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b/>
                <w:i/>
                <w:color w:val="FFFFFF"/>
              </w:rPr>
            </w:pPr>
            <w:r>
              <w:rPr>
                <w:b/>
                <w:i/>
                <w:color w:val="FFFFFF"/>
              </w:rPr>
              <w:t>SUMÁRIO</w:t>
            </w:r>
          </w:p>
        </w:tc>
      </w:tr>
    </w:tbl>
    <w:p w:rsidR="002E6C1E" w:rsidRDefault="002E6C1E"/>
    <w:sdt>
      <w:sdtPr>
        <w:id w:val="1803650892"/>
        <w:docPartObj>
          <w:docPartGallery w:val="Table of Contents"/>
          <w:docPartUnique/>
        </w:docPartObj>
      </w:sdtPr>
      <w:sdtEndPr/>
      <w:sdtContent>
        <w:p w:rsidR="002E6C1E" w:rsidRDefault="001877EC">
          <w:pPr>
            <w:tabs>
              <w:tab w:val="right" w:pos="9580"/>
            </w:tabs>
            <w:spacing w:before="80" w:line="240" w:lineRule="auto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7zu6z6vj6iys">
            <w:r>
              <w:rPr>
                <w:b/>
                <w:color w:val="000000"/>
              </w:rPr>
              <w:t>1. INTRODUÇÃO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_7zu6z6vj6iys \h </w:instrText>
          </w:r>
          <w:r>
            <w:fldChar w:fldCharType="separate"/>
          </w:r>
          <w:r>
            <w:rPr>
              <w:b/>
              <w:color w:val="000000"/>
            </w:rPr>
            <w:t>5</w:t>
          </w:r>
          <w:r>
            <w:fldChar w:fldCharType="end"/>
          </w:r>
        </w:p>
        <w:p w:rsidR="002E6C1E" w:rsidRDefault="001877EC">
          <w:pPr>
            <w:tabs>
              <w:tab w:val="right" w:pos="9580"/>
            </w:tabs>
            <w:spacing w:before="200" w:line="240" w:lineRule="auto"/>
            <w:rPr>
              <w:b/>
              <w:color w:val="000000"/>
            </w:rPr>
          </w:pPr>
          <w:hyperlink w:anchor="_7jtajwjyg4gb">
            <w:r>
              <w:rPr>
                <w:b/>
                <w:color w:val="000000"/>
              </w:rPr>
              <w:t>2. ANÁLISE DO ATENDIMENTO ÀS RECOMENDAÇÕES DE AUDITORIA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_7jtajwjyg4gb \h </w:instrText>
          </w:r>
          <w:r>
            <w:fldChar w:fldCharType="separate"/>
          </w:r>
          <w:r>
            <w:rPr>
              <w:b/>
              <w:color w:val="000000"/>
            </w:rPr>
            <w:t>6</w:t>
          </w:r>
          <w:r>
            <w:fldChar w:fldCharType="end"/>
          </w:r>
        </w:p>
        <w:p w:rsidR="002E6C1E" w:rsidRDefault="001877EC">
          <w:pPr>
            <w:tabs>
              <w:tab w:val="right" w:pos="9580"/>
            </w:tabs>
            <w:spacing w:before="200" w:line="240" w:lineRule="auto"/>
            <w:rPr>
              <w:b/>
              <w:color w:val="000000"/>
            </w:rPr>
          </w:pPr>
          <w:hyperlink w:anchor="_vajkqbm7tkpc">
            <w:r>
              <w:rPr>
                <w:b/>
                <w:color w:val="000000"/>
              </w:rPr>
              <w:t>3. CONCLUSÃO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_vajkqbm7tkpc \h </w:instrText>
          </w:r>
          <w:r>
            <w:fldChar w:fldCharType="separate"/>
          </w:r>
          <w:r>
            <w:rPr>
              <w:b/>
              <w:color w:val="000000"/>
            </w:rPr>
            <w:t>24</w:t>
          </w:r>
          <w:r>
            <w:fldChar w:fldCharType="end"/>
          </w:r>
        </w:p>
        <w:p w:rsidR="002E6C1E" w:rsidRDefault="001877EC">
          <w:pPr>
            <w:tabs>
              <w:tab w:val="right" w:pos="9580"/>
            </w:tabs>
            <w:spacing w:before="200" w:after="80" w:line="240" w:lineRule="auto"/>
            <w:rPr>
              <w:b/>
              <w:color w:val="000000"/>
            </w:rPr>
          </w:pPr>
          <w:hyperlink w:anchor="_u3ms35ikg1km">
            <w:r>
              <w:rPr>
                <w:b/>
                <w:color w:val="000000"/>
              </w:rPr>
              <w:t>4. PROPOSTAS DE ENCAMINHAMENTO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_u3ms35ikg1km \h </w:instrText>
          </w:r>
          <w:r>
            <w:fldChar w:fldCharType="separate"/>
          </w:r>
          <w:r>
            <w:rPr>
              <w:b/>
              <w:color w:val="000000"/>
            </w:rPr>
            <w:t>27</w:t>
          </w:r>
          <w:r>
            <w:fldChar w:fldCharType="end"/>
          </w:r>
          <w:r>
            <w:fldChar w:fldCharType="end"/>
          </w:r>
        </w:p>
      </w:sdtContent>
    </w:sdt>
    <w:p w:rsidR="002E6C1E" w:rsidRDefault="002E6C1E">
      <w:pPr>
        <w:spacing w:before="120"/>
        <w:jc w:val="both"/>
      </w:pPr>
    </w:p>
    <w:p w:rsidR="002E6C1E" w:rsidRDefault="001877EC">
      <w:pPr>
        <w:spacing w:before="120"/>
        <w:jc w:val="both"/>
      </w:pPr>
      <w:r>
        <w:br w:type="page"/>
      </w:r>
    </w:p>
    <w:p w:rsidR="002E6C1E" w:rsidRDefault="002E6C1E">
      <w:pPr>
        <w:spacing w:before="120"/>
        <w:jc w:val="both"/>
      </w:pPr>
    </w:p>
    <w:tbl>
      <w:tblPr>
        <w:tblStyle w:val="a1"/>
        <w:tblW w:w="9581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81"/>
      </w:tblGrid>
      <w:tr w:rsidR="002E6C1E">
        <w:tc>
          <w:tcPr>
            <w:tcW w:w="9581" w:type="dxa"/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pStyle w:val="Ttulo1"/>
              <w:rPr>
                <w:sz w:val="24"/>
                <w:szCs w:val="24"/>
              </w:rPr>
            </w:pPr>
            <w:bookmarkStart w:id="2" w:name="_7zu6z6vj6iys" w:colFirst="0" w:colLast="0"/>
            <w:bookmarkEnd w:id="2"/>
            <w:r>
              <w:rPr>
                <w:sz w:val="24"/>
                <w:szCs w:val="24"/>
              </w:rPr>
              <w:t>1. INTRODUÇÃO</w:t>
            </w:r>
          </w:p>
        </w:tc>
      </w:tr>
    </w:tbl>
    <w:p w:rsidR="002E6C1E" w:rsidRDefault="001877EC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both"/>
      </w:pPr>
      <w:bookmarkStart w:id="3" w:name="_bb2tdjde8ccp" w:colFirst="0" w:colLast="0"/>
      <w:bookmarkEnd w:id="3"/>
      <w:r>
        <w:t>A C</w:t>
      </w:r>
      <w:r>
        <w:t xml:space="preserve">oordenadoria de Auditoria Interna (COAUD), por intermédio da Seção de Auditoria de Governança e Gestão Organizacional (SEAGO), realizou, no período compreendido entre </w:t>
      </w:r>
      <w:r>
        <w:rPr>
          <w:highlight w:val="white"/>
        </w:rPr>
        <w:t>17/5 a 21/6/2021</w:t>
      </w:r>
      <w:r>
        <w:t>, o Monitoramento da Auditoria Coordenada do Conselho Nacional de Justiça</w:t>
      </w:r>
      <w:r>
        <w:t xml:space="preserve"> (CNJ</w:t>
      </w:r>
      <w:proofErr w:type="gramStart"/>
      <w:r>
        <w:t>)</w:t>
      </w:r>
      <w:proofErr w:type="gramEnd"/>
      <w:r>
        <w:t xml:space="preserve">/Poder Judiciário – Gestão Documental - Exercício 2019, consoante previsão inserta no Plano Anual de Auditoria referente a 2021 (PAA2021), aprovado por meio da Portaria da Presidência desta Casa nº 450, de 27 de novembro de 2020. </w:t>
      </w:r>
    </w:p>
    <w:p w:rsidR="002E6C1E" w:rsidRDefault="001877EC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both"/>
        <w:rPr>
          <w:highlight w:val="white"/>
        </w:rPr>
      </w:pPr>
      <w:bookmarkStart w:id="4" w:name="_kvkagkadv7p8" w:colFirst="0" w:colLast="0"/>
      <w:bookmarkEnd w:id="4"/>
      <w:r>
        <w:rPr>
          <w:highlight w:val="white"/>
        </w:rPr>
        <w:t>O presente monitora</w:t>
      </w:r>
      <w:r>
        <w:rPr>
          <w:highlight w:val="white"/>
        </w:rPr>
        <w:t xml:space="preserve">mento teve por objetivo verificar o atual estágio de cumprimento das proposições constantes do Relatório de Auditoria </w:t>
      </w:r>
      <w:r>
        <w:t>Coordenada do Conselho Nacional de Justiça (CNJ</w:t>
      </w:r>
      <w:proofErr w:type="gramStart"/>
      <w:r>
        <w:t>)</w:t>
      </w:r>
      <w:proofErr w:type="gramEnd"/>
      <w:r>
        <w:t>/Poder Judiciário – Gestão Documental - Exercício 2019</w:t>
      </w:r>
      <w:r>
        <w:rPr>
          <w:highlight w:val="white"/>
        </w:rPr>
        <w:t>, devidamente homologadas pela Presi</w:t>
      </w:r>
      <w:r>
        <w:rPr>
          <w:highlight w:val="white"/>
        </w:rPr>
        <w:t xml:space="preserve">dência deste Regional (SEI nº 0052051-36.2019.6.05.8000, Docs. </w:t>
      </w:r>
      <w:proofErr w:type="spellStart"/>
      <w:r>
        <w:rPr>
          <w:highlight w:val="white"/>
        </w:rPr>
        <w:t>nºs</w:t>
      </w:r>
      <w:proofErr w:type="spellEnd"/>
      <w:r>
        <w:rPr>
          <w:highlight w:val="white"/>
        </w:rPr>
        <w:t xml:space="preserve"> 0071216 e 0071221). O procedimento foi objeto do </w:t>
      </w:r>
      <w:hyperlink r:id="rId16">
        <w:r>
          <w:rPr>
            <w:color w:val="1155CC"/>
            <w:highlight w:val="white"/>
            <w:u w:val="single"/>
          </w:rPr>
          <w:t>Comunicado-Circular de Monitoramento d</w:t>
        </w:r>
        <w:r>
          <w:rPr>
            <w:color w:val="1155CC"/>
            <w:highlight w:val="white"/>
            <w:u w:val="single"/>
          </w:rPr>
          <w:t>e Auditoria nº 5/2021/SEAGO/COAUD</w:t>
        </w:r>
      </w:hyperlink>
      <w:r>
        <w:rPr>
          <w:highlight w:val="white"/>
        </w:rPr>
        <w:t xml:space="preserve"> (SEI nº 0010670-77.2021.6.05.8000), remetido à Presidência, Diretoria-Geral, Assessoria de Chefia de Gabinete da Presidência, Assessoria Especial da Diretoria-Geral, Secretaria Geral da Presidência, Secretaria de Gestão de</w:t>
      </w:r>
      <w:r>
        <w:rPr>
          <w:highlight w:val="white"/>
        </w:rPr>
        <w:t xml:space="preserve"> Pessoas, Secretaria de Gestão Administrativa e de Serviços, Secretaria de Planejamento de Estratégia e de Eleições, Secretaria de Tecnologia da Informação e Comunicação, Comitê Gestor do PJE, Comissão Permanente Gestora do SEI, Grupo de Estudos instituído</w:t>
      </w:r>
      <w:r>
        <w:rPr>
          <w:highlight w:val="white"/>
        </w:rPr>
        <w:t xml:space="preserve"> pela Portaria da Presidência nº 451/2019 e Grupo de Estudos instituído pela Portaria da Presidência nº 456/2019. </w:t>
      </w:r>
    </w:p>
    <w:p w:rsidR="002E6C1E" w:rsidRDefault="001877EC">
      <w:pPr>
        <w:keepNext/>
        <w:spacing w:before="200" w:after="120" w:line="240" w:lineRule="auto"/>
        <w:jc w:val="both"/>
      </w:pPr>
      <w:r>
        <w:t>Os exames técnicos foram realizados com base nas propostas de encaminhamento homologadas, avaliando-se, a partir das evidências coletadas, o grau de cumprimento das proposições, priorizando-se a correção das fragilidades identificadas em detrimento do cump</w:t>
      </w:r>
      <w:r>
        <w:t xml:space="preserve">rimento formal de deliberações, quando não fundamentais à correção de falhas, </w:t>
      </w:r>
      <w:r>
        <w:rPr>
          <w:highlight w:val="white"/>
        </w:rPr>
        <w:t>consoante orientação encartada no art. 57, da Resolução do Conselho Nacional de Justiça (CNJ) nº 309, de 11 de março de 2020</w:t>
      </w:r>
      <w:r>
        <w:t>. Após, procedeu-se à classificação dos encaminhamento</w:t>
      </w:r>
      <w:r>
        <w:t>s monitorados em “</w:t>
      </w:r>
      <w:proofErr w:type="gramStart"/>
      <w:r>
        <w:t>implementado</w:t>
      </w:r>
      <w:proofErr w:type="gramEnd"/>
      <w:r>
        <w:t>”, “em implementação” ou “não implementado”.</w:t>
      </w:r>
    </w:p>
    <w:p w:rsidR="002E6C1E" w:rsidRDefault="001877EC">
      <w:pPr>
        <w:keepNext/>
        <w:spacing w:before="200" w:after="120" w:line="240" w:lineRule="auto"/>
        <w:jc w:val="both"/>
      </w:pPr>
      <w:r>
        <w:t xml:space="preserve">Nesse sentido, esclarece-se que as 14 proposições homologadas constantes do relatório da auditoria </w:t>
      </w:r>
      <w:proofErr w:type="gramStart"/>
      <w:r>
        <w:t>sob exame</w:t>
      </w:r>
      <w:proofErr w:type="gramEnd"/>
      <w:r>
        <w:t xml:space="preserve"> foram convertidas em objeto de efetivo monitoramento. </w:t>
      </w:r>
    </w:p>
    <w:p w:rsidR="002E6C1E" w:rsidRDefault="001877EC">
      <w:pPr>
        <w:keepNext/>
        <w:spacing w:before="200" w:after="120" w:line="240" w:lineRule="auto"/>
        <w:jc w:val="both"/>
        <w:rPr>
          <w:highlight w:val="white"/>
        </w:rPr>
      </w:pPr>
      <w:r>
        <w:t>Para obtenção das</w:t>
      </w:r>
      <w:r>
        <w:t xml:space="preserve"> informações que subsidiaram os exames realizados foram emitidas as Requisições de Documentos e/ou Informações (</w:t>
      </w:r>
      <w:proofErr w:type="spellStart"/>
      <w:r>
        <w:t>RDIs</w:t>
      </w:r>
      <w:proofErr w:type="spellEnd"/>
      <w:r>
        <w:t xml:space="preserve">) sob numeração </w:t>
      </w:r>
      <w:r>
        <w:rPr>
          <w:highlight w:val="white"/>
        </w:rPr>
        <w:t>28 a 31 e 33 a 36/2021/SEAGO/COAUD (</w:t>
      </w:r>
      <w:proofErr w:type="spellStart"/>
      <w:proofErr w:type="gramStart"/>
      <w:r>
        <w:rPr>
          <w:highlight w:val="white"/>
        </w:rPr>
        <w:t>SEIs</w:t>
      </w:r>
      <w:proofErr w:type="spellEnd"/>
      <w:proofErr w:type="gram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nºs</w:t>
      </w:r>
      <w:proofErr w:type="spellEnd"/>
      <w:r>
        <w:rPr>
          <w:highlight w:val="white"/>
        </w:rPr>
        <w:t xml:space="preserve"> 0010648-19.2021.6.05.8000, 0010651-71.2021.6.05.8000, 0010657-78.2021.6.05.8000</w:t>
      </w:r>
      <w:r>
        <w:rPr>
          <w:highlight w:val="white"/>
        </w:rPr>
        <w:t xml:space="preserve">, 0010656-93.2021.6.05.8000, 0010654-26.2021.2021.6.05.8000, 0010653-41.2021.6.05.8000, 0010652-56.2021.6.05.8000 e 0010647-34.2021.6.05.8000, respectivamente), sendo utilizado o Papel de Trabalho “Matriz de Planejamento – Auditoria </w:t>
      </w:r>
      <w:r>
        <w:t xml:space="preserve">Coordenada do Conselho </w:t>
      </w:r>
      <w:r>
        <w:t>Nacional de Justiça (CNJ)/Poder Judiciário – Gestão Documental - Exercício 2019</w:t>
      </w:r>
      <w:r>
        <w:rPr>
          <w:highlight w:val="white"/>
        </w:rPr>
        <w:t xml:space="preserve"> ”. </w:t>
      </w:r>
    </w:p>
    <w:p w:rsidR="002E6C1E" w:rsidRDefault="001877EC">
      <w:pPr>
        <w:keepNext/>
        <w:spacing w:before="200" w:after="120" w:line="240" w:lineRule="auto"/>
        <w:jc w:val="both"/>
      </w:pPr>
      <w:r>
        <w:t>Para emissão de opinativo quanto ao atual estágio de cumprimento dos encaminhamentos monitorados, restaram utilizadas técnicas de análise documental e correlação entre as i</w:t>
      </w:r>
      <w:r>
        <w:t xml:space="preserve">nformações coletadas, merecendo registro, ainda, a realização de consultas ao Sistema Eletrônico de Informações (SEI) e ao Diário de Justiça Eletrônico (DJE) deste Regional, para obtenção de dados </w:t>
      </w:r>
      <w:r>
        <w:lastRenderedPageBreak/>
        <w:t>atualizados acerca do trâmite processual de expedientes esp</w:t>
      </w:r>
      <w:r>
        <w:t xml:space="preserve">ecíficos e exame do inteiro teor de atos normativos pertinentes, editados pela Alta Administração deste Tribunal. </w:t>
      </w:r>
    </w:p>
    <w:p w:rsidR="002E6C1E" w:rsidRDefault="001877EC">
      <w:pPr>
        <w:keepNext/>
        <w:spacing w:before="0" w:after="120" w:line="240" w:lineRule="auto"/>
        <w:jc w:val="both"/>
      </w:pPr>
      <w:r>
        <w:t>Registramos, por fim, que os trabalhos desenvolvidos ao longo do presente procedimento de monitoramento de auditoria foram conduzidos em conformidade com a Resolução do Conselho Nacional de Justiça (CNJ) nº 309, de 11 de março de 2020 e com as Normas Inter</w:t>
      </w:r>
      <w:r>
        <w:t xml:space="preserve">nacionais para a Prática Profissional de Auditoria Interna (IPPF) do Instituto dos Auditores Internos (IAA). </w:t>
      </w:r>
    </w:p>
    <w:p w:rsidR="002E6C1E" w:rsidRDefault="001877EC">
      <w:pPr>
        <w:keepNext/>
        <w:spacing w:before="0" w:after="120" w:line="240" w:lineRule="auto"/>
        <w:jc w:val="both"/>
      </w:pPr>
      <w:r>
        <w:t>Vale salientar que nenhum óbice foi encontrado no desenvolvimento dos trabalhos.</w:t>
      </w:r>
    </w:p>
    <w:p w:rsidR="002E6C1E" w:rsidRDefault="001877EC">
      <w:pPr>
        <w:keepNext/>
        <w:spacing w:before="0" w:after="120" w:line="240" w:lineRule="auto"/>
        <w:jc w:val="both"/>
        <w:rPr>
          <w:b/>
          <w:color w:val="FF0000"/>
        </w:rPr>
      </w:pPr>
      <w:r>
        <w:t>Esperamos que o resultado deste monitoramento, além de viabilizar</w:t>
      </w:r>
      <w:r>
        <w:t xml:space="preserve"> a consolidação de diagnóstico acerca do panorama de cumprimento dos encaminhamentos originalmente homologados pela Presidência deste Regional, instrumentalize a Alta Administração do TRE-BA no processo decisório afeto ao processo de governança e gestão do</w:t>
      </w:r>
      <w:r>
        <w:t xml:space="preserve">cumental, bem como para a mitigação, por consequência, dos riscos associados. </w:t>
      </w:r>
    </w:p>
    <w:tbl>
      <w:tblPr>
        <w:tblStyle w:val="a2"/>
        <w:tblW w:w="9581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81"/>
      </w:tblGrid>
      <w:tr w:rsidR="002E6C1E">
        <w:tc>
          <w:tcPr>
            <w:tcW w:w="9581" w:type="dxa"/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pStyle w:val="Ttulo1"/>
              <w:widowControl w:val="0"/>
              <w:rPr>
                <w:sz w:val="24"/>
                <w:szCs w:val="24"/>
              </w:rPr>
            </w:pPr>
            <w:bookmarkStart w:id="5" w:name="_7jtajwjyg4gb" w:colFirst="0" w:colLast="0"/>
            <w:bookmarkEnd w:id="5"/>
            <w:r>
              <w:rPr>
                <w:sz w:val="24"/>
                <w:szCs w:val="24"/>
              </w:rPr>
              <w:t>2. ANÁLISE DO ATENDIMENTO ÀS RECOMENDAÇÕES DE AUDITORIA</w:t>
            </w:r>
          </w:p>
        </w:tc>
      </w:tr>
    </w:tbl>
    <w:p w:rsidR="002E6C1E" w:rsidRDefault="001877EC">
      <w:pPr>
        <w:keepNext/>
        <w:spacing w:before="200" w:after="120" w:line="240" w:lineRule="auto"/>
        <w:jc w:val="both"/>
      </w:pPr>
      <w:bookmarkStart w:id="6" w:name="_3znysh7" w:colFirst="0" w:colLast="0"/>
      <w:bookmarkEnd w:id="6"/>
      <w:r>
        <w:t>Concluídas as etapas reservadas ao exame e cotejo de documentos, manifestações das unidades envolvidas e demais fontes d</w:t>
      </w:r>
      <w:r>
        <w:t>e informação utilizadas para a execução do presente monitoramento, passa-se à exposição do seu resultado, no que tange às 14 recomendações que constituíram objeto do presente procedimento, discriminadas na sequência:</w:t>
      </w:r>
    </w:p>
    <w:p w:rsidR="002E6C1E" w:rsidRDefault="001877EC">
      <w:pPr>
        <w:spacing w:after="240" w:line="240" w:lineRule="auto"/>
        <w:jc w:val="both"/>
      </w:pPr>
      <w:r>
        <w:rPr>
          <w:b/>
          <w:i/>
        </w:rPr>
        <w:t xml:space="preserve">Proposição n° 5.1.1 - Recomendar à SGA </w:t>
      </w:r>
      <w:r>
        <w:rPr>
          <w:b/>
          <w:i/>
        </w:rPr>
        <w:t>que, em parceria com a COPEG, no prazo de 120 dias, apresente plano de ação contemplando iniciativas, responsáveis e prazo de realização, com vistas ao mapeamento/melhoramento dos processos afetos à gestão documental, devendo, ainda, proceder ao monitorame</w:t>
      </w:r>
      <w:r>
        <w:rPr>
          <w:b/>
          <w:i/>
        </w:rPr>
        <w:t xml:space="preserve">nto periódico do seu cumprimento, informando à Presidência, Diretoria-Geral e SAU quanto às ações implementadas (ref. subitem </w:t>
      </w:r>
      <w:proofErr w:type="gramStart"/>
      <w:r>
        <w:rPr>
          <w:b/>
          <w:i/>
        </w:rPr>
        <w:t>3.1.1)</w:t>
      </w:r>
      <w:proofErr w:type="gramEnd"/>
      <w:r>
        <w:t xml:space="preserve">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Achado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Insuficiência do mapeamento dos processos atinentes à gestão documental do Órgão.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Providências adotada</w:t>
      </w:r>
      <w:r>
        <w:rPr>
          <w:i/>
        </w:rPr>
        <w:t>s e comentários dos gestores</w:t>
      </w:r>
    </w:p>
    <w:p w:rsidR="002E6C1E" w:rsidRDefault="001877EC">
      <w:pPr>
        <w:keepNext/>
        <w:spacing w:before="120" w:after="200"/>
        <w:jc w:val="both"/>
        <w:rPr>
          <w:highlight w:val="white"/>
        </w:rPr>
      </w:pPr>
      <w:r>
        <w:rPr>
          <w:highlight w:val="white"/>
        </w:rPr>
        <w:t xml:space="preserve">Em resposta a RDI nº 35/2021/SEAGO/COAUD, </w:t>
      </w:r>
      <w:r>
        <w:rPr>
          <w:highlight w:val="white"/>
        </w:rPr>
        <w:t xml:space="preserve">SEI nº 0010652-56.2021.6.05.8000,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1631711, a SEGEPRO informou que a unidade foi provocada pela SGA, via SEI nº 0049322-37.2019.6.05.8000, para prestar consultoria no mapeamento/melhoramento dos processos relacionados à Gestão Documental do Órgão, i</w:t>
      </w:r>
      <w:r>
        <w:rPr>
          <w:highlight w:val="white"/>
        </w:rPr>
        <w:t xml:space="preserve">dentificados pela COGED. Desta forma, procedeu à elaboração do Plano de Ação, anexado ao citado SEI, 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0021204, o qual já se encontra cumprido. Desta forma, foram feitos, para cada um dos processos indicados pela COGED,</w:t>
      </w:r>
      <w:proofErr w:type="gramStart"/>
      <w:r>
        <w:rPr>
          <w:highlight w:val="white"/>
        </w:rPr>
        <w:t xml:space="preserve">  </w:t>
      </w:r>
      <w:proofErr w:type="gramEnd"/>
      <w:r>
        <w:rPr>
          <w:highlight w:val="white"/>
        </w:rPr>
        <w:t>mapa, manual, Plano de Tra</w:t>
      </w:r>
      <w:r>
        <w:rPr>
          <w:highlight w:val="white"/>
        </w:rPr>
        <w:t>tamento de Riscos e, para alguns dos fluxos de trabalho identificados, ficha de indicador de desempenho. A unidade ainda informa que, sobre a propositura de indicador de desempenho para os processos relacionados,</w:t>
      </w:r>
      <w:proofErr w:type="gramStart"/>
      <w:r>
        <w:rPr>
          <w:highlight w:val="white"/>
        </w:rPr>
        <w:t xml:space="preserve">  </w:t>
      </w:r>
      <w:proofErr w:type="gramEnd"/>
      <w:r>
        <w:rPr>
          <w:highlight w:val="white"/>
        </w:rPr>
        <w:t>diante da existência de fluxos de baixa co</w:t>
      </w:r>
      <w:r>
        <w:rPr>
          <w:highlight w:val="white"/>
        </w:rPr>
        <w:t>mplexidade dentre os processos sugeridos, foi solicitada a análise das unidades gestoras sobre o custo-benefício da formalização e monitoramento de indicador de desempenho específico, o que nem sempre resultou em criação do artefato. Como evidência, listou</w:t>
      </w:r>
      <w:r>
        <w:rPr>
          <w:highlight w:val="white"/>
        </w:rPr>
        <w:t xml:space="preserve"> os processos incluídos no escopo do atendimento à recomendação, respectivos </w:t>
      </w:r>
      <w:proofErr w:type="spellStart"/>
      <w:r>
        <w:rPr>
          <w:highlight w:val="white"/>
        </w:rPr>
        <w:t>SEI’s</w:t>
      </w:r>
      <w:proofErr w:type="spellEnd"/>
      <w:r>
        <w:rPr>
          <w:highlight w:val="white"/>
        </w:rPr>
        <w:t xml:space="preserve"> pelos quais foram formalizados os trabalhos, e link </w:t>
      </w:r>
      <w:r>
        <w:rPr>
          <w:highlight w:val="white"/>
        </w:rPr>
        <w:lastRenderedPageBreak/>
        <w:t>de acesso aos manuais publicados na internet, manuais estes que trazem, como anexos, o Plano de Tratamento de Riscos (PTR</w:t>
      </w:r>
      <w:r>
        <w:rPr>
          <w:highlight w:val="white"/>
        </w:rPr>
        <w:t>) e, quando houver, Ficha de Indicador de Desempenho do processo.  Processo: Prestação de Informação de Resultado de Pleitos (SEI n.º 0049322-37.2019.6.05.8000)</w:t>
      </w:r>
      <w:proofErr w:type="gramStart"/>
      <w:r>
        <w:rPr>
          <w:highlight w:val="white"/>
        </w:rPr>
        <w:t>, Descarte</w:t>
      </w:r>
      <w:proofErr w:type="gramEnd"/>
      <w:r>
        <w:rPr>
          <w:highlight w:val="white"/>
        </w:rPr>
        <w:t xml:space="preserve"> de Documentos e Processos (SEI n.º 0051078-81.2019.6.05.8000), Protocolização, Regist</w:t>
      </w:r>
      <w:r>
        <w:rPr>
          <w:highlight w:val="white"/>
        </w:rPr>
        <w:t>ro e Distribuição de Documentos e Processos Recepcionados (SEI n.º 0051077-96.2019.6.05.8000), Editoração e Publicação do Diário da Justiça Eletrônico (DJE) (SEI n.º 0051843-52.2019.6.05.8000), Arquivamento de Documentos (SEI n.º 0051677-20.2019.6.05.8000)</w:t>
      </w:r>
      <w:r>
        <w:rPr>
          <w:highlight w:val="white"/>
        </w:rPr>
        <w:t>, Expedição de Documentos e Processos (SEI n.º 0051080-51.2019.6.05.8000), Disponibilização de Documentos Arquivados (SEI n.º 0051678-05.2019.6.05.8000), Migração de Suporte de Documentos (SEI n.º 0051676-35.2019.6.05.8000), Compilação de Divulgação de Nor</w:t>
      </w:r>
      <w:r>
        <w:rPr>
          <w:highlight w:val="white"/>
        </w:rPr>
        <w:t xml:space="preserve">mativos Internos (SEI n.º 0051079-66.2019.6.05.8000) e Tratamento Técnico para Documentos Relevantes para a Memória (SEI n.º 0050914-19.2019.6.05.8000). A COGED ratificou as informações da SEGEPRO 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 1633735.</w:t>
      </w:r>
    </w:p>
    <w:p w:rsidR="002E6C1E" w:rsidRDefault="001877EC">
      <w:pPr>
        <w:keepNext/>
        <w:spacing w:before="120" w:after="200"/>
        <w:jc w:val="both"/>
        <w:rPr>
          <w:sz w:val="17"/>
          <w:szCs w:val="17"/>
        </w:rPr>
      </w:pPr>
      <w:r>
        <w:rPr>
          <w:highlight w:val="white"/>
        </w:rPr>
        <w:t>Em resposta a RDI nº 33/2021/SEAGO/COA</w:t>
      </w:r>
      <w:r>
        <w:rPr>
          <w:highlight w:val="white"/>
        </w:rPr>
        <w:t xml:space="preserve">UD, no SEI nº 0010654-26.2021.6.05.8000,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1633837, a COGED informou que foram concluídos os trabalhos referentes aos seguintes processos: 1. Prestação de informação de resultado de pleito – SEBLIM – </w:t>
      </w:r>
      <w:proofErr w:type="gramStart"/>
      <w:r>
        <w:rPr>
          <w:highlight w:val="white"/>
        </w:rPr>
        <w:t>SEI</w:t>
      </w:r>
      <w:proofErr w:type="gramEnd"/>
      <w:r>
        <w:rPr>
          <w:highlight w:val="white"/>
        </w:rPr>
        <w:t xml:space="preserve"> nº 0049322-37.2019.6.05.8000 (PAD nº 14.290/20</w:t>
      </w:r>
      <w:r>
        <w:rPr>
          <w:highlight w:val="white"/>
        </w:rPr>
        <w:t xml:space="preserve">19); 2. Compilação e divulgação de normativos internos – SEBLIM – </w:t>
      </w:r>
      <w:proofErr w:type="gramStart"/>
      <w:r>
        <w:rPr>
          <w:highlight w:val="white"/>
        </w:rPr>
        <w:t>SEI</w:t>
      </w:r>
      <w:proofErr w:type="gramEnd"/>
      <w:r>
        <w:rPr>
          <w:highlight w:val="white"/>
        </w:rPr>
        <w:t xml:space="preserve"> nº 0051079-66.2019.6.05.8000 (PAD nº 18.128/2019); 3. Tratamento técnico de documentos e informações relevantes para a memória institucional – SEBLIM – </w:t>
      </w:r>
      <w:proofErr w:type="gramStart"/>
      <w:r>
        <w:rPr>
          <w:highlight w:val="white"/>
        </w:rPr>
        <w:t>SEI</w:t>
      </w:r>
      <w:proofErr w:type="gramEnd"/>
      <w:r>
        <w:rPr>
          <w:highlight w:val="white"/>
        </w:rPr>
        <w:t xml:space="preserve"> nº 0050914- 19.2019.6.05.8000 </w:t>
      </w:r>
      <w:r>
        <w:rPr>
          <w:highlight w:val="white"/>
        </w:rPr>
        <w:t xml:space="preserve">(PAD nº 18.131/2019); 4. Protocolização, registro e distribuição de documentos e processos recebidos no âmbito do TRE-BA – SEPEX – </w:t>
      </w:r>
      <w:proofErr w:type="gramStart"/>
      <w:r>
        <w:rPr>
          <w:highlight w:val="white"/>
        </w:rPr>
        <w:t>SEI</w:t>
      </w:r>
      <w:proofErr w:type="gramEnd"/>
      <w:r>
        <w:rPr>
          <w:highlight w:val="white"/>
        </w:rPr>
        <w:t xml:space="preserve"> nº 0051077- 96.2019.6.05.8000 (PAD nº 18.145/2019); 5. Expedição de documentos e processos da Secretaria do Tribunal e Zo</w:t>
      </w:r>
      <w:r>
        <w:rPr>
          <w:highlight w:val="white"/>
        </w:rPr>
        <w:t xml:space="preserve">nas Eleitorais da capital – SEPEX – </w:t>
      </w:r>
      <w:proofErr w:type="gramStart"/>
      <w:r>
        <w:rPr>
          <w:highlight w:val="white"/>
        </w:rPr>
        <w:t>SEI</w:t>
      </w:r>
      <w:proofErr w:type="gramEnd"/>
      <w:r>
        <w:rPr>
          <w:highlight w:val="white"/>
        </w:rPr>
        <w:t xml:space="preserve"> nº 0051080-51.2019.6.05.8000 (PAD nº 18.146/2019); 6. Editoração, divulgação e publicação do Diário da Justiça Eletrônico (DJE) do TRE-BA – SEINFO – </w:t>
      </w:r>
      <w:proofErr w:type="gramStart"/>
      <w:r>
        <w:rPr>
          <w:highlight w:val="white"/>
        </w:rPr>
        <w:t>SEI</w:t>
      </w:r>
      <w:proofErr w:type="gramEnd"/>
      <w:r>
        <w:rPr>
          <w:highlight w:val="white"/>
        </w:rPr>
        <w:t xml:space="preserve"> nº 0051843-52.2019.6.05.8000 (PAD nº 18.148/2019); 7. Arquivame</w:t>
      </w:r>
      <w:r>
        <w:rPr>
          <w:highlight w:val="white"/>
        </w:rPr>
        <w:t xml:space="preserve">nto de documentos e processos – SEARQ – </w:t>
      </w:r>
      <w:proofErr w:type="gramStart"/>
      <w:r>
        <w:rPr>
          <w:highlight w:val="white"/>
        </w:rPr>
        <w:t>SEI</w:t>
      </w:r>
      <w:proofErr w:type="gramEnd"/>
      <w:r>
        <w:rPr>
          <w:highlight w:val="white"/>
        </w:rPr>
        <w:t xml:space="preserve"> nº 0051677-20.2019.6.05.8000 (PAD nº 18.136/2019); 8. Migração de suporte de documentos – SEARQ – </w:t>
      </w:r>
      <w:proofErr w:type="gramStart"/>
      <w:r>
        <w:rPr>
          <w:highlight w:val="white"/>
        </w:rPr>
        <w:t>SEI</w:t>
      </w:r>
      <w:proofErr w:type="gramEnd"/>
      <w:r>
        <w:rPr>
          <w:highlight w:val="white"/>
        </w:rPr>
        <w:t xml:space="preserve"> nº 0051676-35.2019.6.05.8000 (PAD nº 18.139/2019); 9. Descarte de documentos e processos – SEARQ – </w:t>
      </w:r>
      <w:proofErr w:type="gramStart"/>
      <w:r>
        <w:rPr>
          <w:highlight w:val="white"/>
        </w:rPr>
        <w:t>SEI</w:t>
      </w:r>
      <w:proofErr w:type="gramEnd"/>
      <w:r>
        <w:rPr>
          <w:highlight w:val="white"/>
        </w:rPr>
        <w:t xml:space="preserve"> nº 0051</w:t>
      </w:r>
      <w:r>
        <w:rPr>
          <w:highlight w:val="white"/>
        </w:rPr>
        <w:t xml:space="preserve">078-81.2019.6.05.8000 (PAD nº 18.137/2019); e 10. Disponibilização de documentos e processos arquivados – SEARQ – </w:t>
      </w:r>
      <w:proofErr w:type="gramStart"/>
      <w:r>
        <w:rPr>
          <w:highlight w:val="white"/>
        </w:rPr>
        <w:t>SEI</w:t>
      </w:r>
      <w:proofErr w:type="gramEnd"/>
      <w:r>
        <w:rPr>
          <w:highlight w:val="white"/>
        </w:rPr>
        <w:t xml:space="preserve"> nº 0051678-05.2019.6.05.8000 (PAD nº 18.142/2019).</w:t>
      </w:r>
    </w:p>
    <w:p w:rsidR="002E6C1E" w:rsidRDefault="001877EC">
      <w:pPr>
        <w:keepNext/>
        <w:spacing w:before="120" w:after="200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keepNext/>
        <w:spacing w:before="120" w:after="200"/>
        <w:jc w:val="both"/>
        <w:rPr>
          <w:highlight w:val="white"/>
        </w:rPr>
      </w:pPr>
      <w:r>
        <w:rPr>
          <w:highlight w:val="white"/>
        </w:rPr>
        <w:t>Verificou-se elaboração e publicação dos seguintes proce</w:t>
      </w:r>
      <w:r>
        <w:rPr>
          <w:highlight w:val="white"/>
        </w:rPr>
        <w:t>ssos: "Prestação de informação de resultado de pleito – SEBLIM"</w:t>
      </w:r>
      <w:proofErr w:type="gramStart"/>
      <w:r>
        <w:rPr>
          <w:highlight w:val="white"/>
        </w:rPr>
        <w:t>, SEI</w:t>
      </w:r>
      <w:proofErr w:type="gramEnd"/>
      <w:r>
        <w:rPr>
          <w:highlight w:val="white"/>
        </w:rPr>
        <w:t xml:space="preserve"> nº 0049322-37.2019.6.05.8000, </w:t>
      </w:r>
      <w:proofErr w:type="spellStart"/>
      <w:r>
        <w:rPr>
          <w:highlight w:val="white"/>
        </w:rPr>
        <w:t>doc</w:t>
      </w:r>
      <w:proofErr w:type="spellEnd"/>
      <w:r>
        <w:rPr>
          <w:highlight w:val="white"/>
        </w:rPr>
        <w:t xml:space="preserve"> nº 1372602; "Compilação e divulgação de normativos internos – SEBLIM" – SEI nº 0051079-66.2019.6.05.8000,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1373411; "Tratamento técnico de documen</w:t>
      </w:r>
      <w:r>
        <w:rPr>
          <w:highlight w:val="white"/>
        </w:rPr>
        <w:t xml:space="preserve">tos e informações relevantes para a memória institucional – SEBLIM" – SEI nº 0050914- 19.2019.6.05.8000;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0049939; "Protocolização, registro e distribuição de documentos e processos recebidos no âmbito do TRE-BA – SEPEX" – SEI nº 0051077- 96.2019.6.</w:t>
      </w:r>
      <w:r>
        <w:rPr>
          <w:highlight w:val="white"/>
        </w:rPr>
        <w:t xml:space="preserve">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 1226203; "Expedição de documentos e processos da Secretaria do Tribunal e Zonas Eleitorais da capital – SEPEX" – SEI nº 0051080-</w:t>
      </w:r>
      <w:r>
        <w:rPr>
          <w:highlight w:val="white"/>
        </w:rPr>
        <w:lastRenderedPageBreak/>
        <w:t xml:space="preserve">51.2019.6.05.8000,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1376299; "Editoração, divulgação e publicação do Diário da Justiça Eletrônico (DJE)</w:t>
      </w:r>
      <w:r>
        <w:rPr>
          <w:highlight w:val="white"/>
        </w:rPr>
        <w:t xml:space="preserve"> do TRE-BA – SEINFO" – SEI nº 0051843-52.2019.6.05.8000,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1223166; "Arquivamento de documentos e processos – SEARQ" – SEI nº 0051677-20.2019.6.05.8000,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1263169; "Migração de suporte de documentos – SEARQ" – SEI nº 0051676-35.2019.6.05.8000, </w:t>
      </w:r>
      <w:r>
        <w:rPr>
          <w:highlight w:val="white"/>
        </w:rPr>
        <w:t xml:space="preserve">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1233810; "Disponibilização de documentos e processos arquivados – SEARQ" – SEI nº 0051678-05.2019.6.05.8000,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1265318. No que tange ao processo de "Descarte de documentos e processos – SEARQ" – SEI nº 0051078-81.2019.6.05.8000, verificou-se </w:t>
      </w:r>
      <w:r>
        <w:rPr>
          <w:highlight w:val="white"/>
        </w:rPr>
        <w:t>aprovação de Manual (Doc. nº 1320236) contemplando o descarte de Documentos. Desta forma, a Unidade de Auditoria concluiu pelo saneamento da fragilidade mencionada.</w:t>
      </w:r>
    </w:p>
    <w:p w:rsidR="002E6C1E" w:rsidRDefault="001877EC">
      <w:pPr>
        <w:keepNext/>
        <w:spacing w:before="120" w:after="200"/>
        <w:rPr>
          <w:i/>
        </w:rPr>
      </w:pPr>
      <w:r>
        <w:rPr>
          <w:i/>
        </w:rPr>
        <w:t>Evidências</w:t>
      </w:r>
    </w:p>
    <w:p w:rsidR="002E6C1E" w:rsidRDefault="001877EC">
      <w:pPr>
        <w:keepNext/>
        <w:spacing w:before="120" w:after="200"/>
        <w:jc w:val="both"/>
      </w:pPr>
      <w:r>
        <w:rPr>
          <w:highlight w:val="white"/>
        </w:rPr>
        <w:t xml:space="preserve">SEI nº 0010652-56.2021.6.05.8000,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1631711; SEI nº 0049322-37.2019.6.05.8</w:t>
      </w:r>
      <w:r>
        <w:rPr>
          <w:highlight w:val="white"/>
        </w:rPr>
        <w:t xml:space="preserve">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0021204 e 1372602; SEI nº 0051079-66.2019.6.05.8000,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1373411; SEI nº 0050914- 19.2019.6.05.8000;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0049939; SEI nº 0051077- 96.2019.6.05.8000,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1226203; SEI nº 0051080-51.2019.6.05.8000,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1376299; SEI nº 0051843-52.</w:t>
      </w:r>
      <w:r>
        <w:rPr>
          <w:highlight w:val="white"/>
        </w:rPr>
        <w:t xml:space="preserve">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1223166; SEI nº 0051677-20.2019.6.05.8000,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1263169; SEI nº 0051676-35.2019.6.05.8000,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1233810; SEI nº 0051678-05.2019.6.05.8000,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1265318. SEI nº 0051078-81.2019.6.05.8000,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1320236; SEI nº 0010654-26.2</w:t>
      </w:r>
      <w:r>
        <w:rPr>
          <w:highlight w:val="white"/>
        </w:rPr>
        <w:t xml:space="preserve">021.6.05.8000, doc. </w:t>
      </w:r>
      <w:proofErr w:type="gramStart"/>
      <w:r>
        <w:rPr>
          <w:highlight w:val="white"/>
        </w:rPr>
        <w:t>nº1633837</w:t>
      </w:r>
      <w:proofErr w:type="gramEnd"/>
      <w:r>
        <w:rPr>
          <w:highlight w:val="white"/>
        </w:rPr>
        <w:t xml:space="preserve">.  </w:t>
      </w:r>
    </w:p>
    <w:p w:rsidR="002E6C1E" w:rsidRDefault="001877EC">
      <w:pPr>
        <w:keepNext/>
        <w:spacing w:before="120" w:after="200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jc w:val="both"/>
        <w:rPr>
          <w:highlight w:val="green"/>
        </w:rPr>
      </w:pPr>
      <w:proofErr w:type="gramStart"/>
      <w:r>
        <w:rPr>
          <w:highlight w:val="green"/>
        </w:rPr>
        <w:t>Implementada</w:t>
      </w:r>
      <w:proofErr w:type="gramEnd"/>
      <w:r>
        <w:rPr>
          <w:highlight w:val="green"/>
        </w:rPr>
        <w:t xml:space="preserve"> </w:t>
      </w:r>
    </w:p>
    <w:p w:rsidR="002E6C1E" w:rsidRDefault="001877EC">
      <w:pPr>
        <w:keepNext/>
        <w:spacing w:before="120" w:after="200"/>
        <w:jc w:val="both"/>
        <w:rPr>
          <w:b/>
          <w:i/>
        </w:rPr>
      </w:pPr>
      <w:r>
        <w:rPr>
          <w:b/>
          <w:i/>
        </w:rPr>
        <w:t>Proposição 5.1.2 - Recomendar à Presidência que, no prazo de 30 dias, avalie a pertinência de alterar a composição da CPAD, de modo a incluir servidores com formação acadêmica alinhada ao quanto indi</w:t>
      </w:r>
      <w:r>
        <w:rPr>
          <w:b/>
          <w:i/>
        </w:rPr>
        <w:t xml:space="preserve">cado na Recomendação CNJ nº 37/2011 (ref. subitem </w:t>
      </w:r>
      <w:proofErr w:type="gramStart"/>
      <w:r>
        <w:rPr>
          <w:b/>
          <w:i/>
        </w:rPr>
        <w:t>3.1.2)</w:t>
      </w:r>
      <w:proofErr w:type="gramEnd"/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Achado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Desalinhamento entre a composição da Comissão Permanente de Avaliação Documental (CPAD) e a Recomendação CNJ nº 37/2011.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Providências adotadas e comentários dos gestores</w:t>
      </w:r>
    </w:p>
    <w:p w:rsidR="002E6C1E" w:rsidRDefault="001877EC">
      <w:pPr>
        <w:keepNext/>
        <w:spacing w:before="120" w:after="200"/>
        <w:jc w:val="both"/>
        <w:rPr>
          <w:highlight w:val="white"/>
        </w:rPr>
      </w:pPr>
      <w:r>
        <w:rPr>
          <w:highlight w:val="white"/>
        </w:rPr>
        <w:t xml:space="preserve">A Chefia </w:t>
      </w:r>
      <w:r>
        <w:rPr>
          <w:highlight w:val="white"/>
        </w:rPr>
        <w:t>do Gabinete da Presidência informou que a Portaria nº 113/2019, expedida pelo DG alterou a COMISS62, e que, salvo melhor juízo, a alteração da composição da CPAD, deve ser feita pela autoridade da qual emanou o ato (SEI nº 0049847-19.2019.6.05.8000, doc. n</w:t>
      </w:r>
      <w:r>
        <w:rPr>
          <w:highlight w:val="white"/>
        </w:rPr>
        <w:t>º 0032068). Após a COGED encaminhar à ASSESP lista de servidores com formação em Arquivologia e História, a Presidência determinou a inclusão, na CPAD, de duas servidoras graduadas, respectivamente, em arquivologia e história. (SEI nº 0049779-69.2019.6.05.</w:t>
      </w:r>
      <w:r>
        <w:rPr>
          <w:highlight w:val="white"/>
        </w:rPr>
        <w:t xml:space="preserve">8000, doc. nº 0030652).                                                                                                       Verificou-se publicação da Portaria da Presidência nº 450, de 7/11/2019 (SEI nº 0049779-69.2019.6.05.8000, doc. nº </w:t>
      </w:r>
      <w:r>
        <w:rPr>
          <w:highlight w:val="white"/>
        </w:rPr>
        <w:lastRenderedPageBreak/>
        <w:t>0030654) que in</w:t>
      </w:r>
      <w:r>
        <w:rPr>
          <w:highlight w:val="white"/>
        </w:rPr>
        <w:t xml:space="preserve">stituiu Comissão Permanente de avaliação de documentos produzidos e recebidos no âmbito do Tribunal. </w:t>
      </w:r>
    </w:p>
    <w:p w:rsidR="002E6C1E" w:rsidRDefault="001877EC">
      <w:pPr>
        <w:keepNext/>
        <w:spacing w:before="120" w:after="200"/>
        <w:jc w:val="both"/>
        <w:rPr>
          <w:highlight w:val="white"/>
        </w:rPr>
      </w:pPr>
      <w:r>
        <w:rPr>
          <w:highlight w:val="white"/>
        </w:rPr>
        <w:t xml:space="preserve">Nos autos do SEI nº 0049779-69.2019.6.05.8000,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0030652, o Presidente do TRE-BA determinou a inclusão na CPAD das servidoras Tânia Cristina Guimarã</w:t>
      </w:r>
      <w:r>
        <w:rPr>
          <w:highlight w:val="white"/>
        </w:rPr>
        <w:t>es Chagas e Creuza Maria Souza Nascimento, graduadas em arquivologia e história, respectivamente.</w:t>
      </w:r>
    </w:p>
    <w:p w:rsidR="002E6C1E" w:rsidRDefault="001877EC">
      <w:pPr>
        <w:keepNext/>
        <w:spacing w:before="120" w:after="200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keepNext/>
        <w:spacing w:before="120" w:after="200"/>
        <w:jc w:val="both"/>
      </w:pPr>
      <w:r>
        <w:t xml:space="preserve">Tendo em vista determinação para inclusão na CPAD, de uma servidora graduada em arquivologia e outra graduada em história, </w:t>
      </w:r>
      <w:r>
        <w:rPr>
          <w:highlight w:val="white"/>
        </w:rPr>
        <w:t xml:space="preserve">SEI </w:t>
      </w:r>
      <w:r>
        <w:rPr>
          <w:highlight w:val="white"/>
        </w:rPr>
        <w:t xml:space="preserve">nº 0049779-69.2019.6.05.8000,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0030652</w:t>
      </w:r>
      <w:r>
        <w:t xml:space="preserve"> e  publicação da Portaria nº 450/2019, com a designação de servidores para compor Comissão Permanente de Avaliação Documental, </w:t>
      </w:r>
      <w:r>
        <w:rPr>
          <w:highlight w:val="white"/>
        </w:rPr>
        <w:t xml:space="preserve">SEI nº 0049779-69.2019.6.05.8000,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0030654</w:t>
      </w:r>
      <w:r>
        <w:t>, a equipe de auditoria concluiu p</w:t>
      </w:r>
      <w:r>
        <w:t>elo saneamento da fragilidade evidenciada.</w:t>
      </w:r>
    </w:p>
    <w:p w:rsidR="002E6C1E" w:rsidRDefault="001877EC">
      <w:pPr>
        <w:keepNext/>
        <w:spacing w:before="120" w:after="200"/>
        <w:rPr>
          <w:i/>
        </w:rPr>
      </w:pPr>
      <w:r>
        <w:rPr>
          <w:i/>
        </w:rPr>
        <w:t>Evidências</w:t>
      </w:r>
    </w:p>
    <w:p w:rsidR="002E6C1E" w:rsidRDefault="001877EC">
      <w:pPr>
        <w:keepNext/>
        <w:spacing w:before="120" w:after="200"/>
        <w:jc w:val="both"/>
        <w:rPr>
          <w:color w:val="38761D"/>
          <w:highlight w:val="white"/>
        </w:rPr>
      </w:pPr>
      <w:r>
        <w:rPr>
          <w:highlight w:val="white"/>
        </w:rPr>
        <w:t xml:space="preserve">SEI nº 0049847-19.2019.6.05.8000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0032068;</w:t>
      </w:r>
      <w:r>
        <w:rPr>
          <w:color w:val="FF0000"/>
          <w:highlight w:val="white"/>
        </w:rPr>
        <w:t xml:space="preserve"> </w:t>
      </w:r>
      <w:r>
        <w:rPr>
          <w:highlight w:val="white"/>
        </w:rPr>
        <w:t>SEI nº 0049779-69.2019.6.05.8000, docs. nº 0030652</w:t>
      </w:r>
      <w:r>
        <w:t xml:space="preserve"> e </w:t>
      </w:r>
      <w:r>
        <w:rPr>
          <w:highlight w:val="white"/>
        </w:rPr>
        <w:t>0030654</w:t>
      </w:r>
      <w:r>
        <w:t>; e Portaria da Presidência nº 450/2019</w:t>
      </w:r>
      <w:r>
        <w:rPr>
          <w:color w:val="38761D"/>
          <w:highlight w:val="white"/>
        </w:rPr>
        <w:t>.</w:t>
      </w:r>
    </w:p>
    <w:p w:rsidR="002E6C1E" w:rsidRDefault="001877EC">
      <w:pPr>
        <w:keepNext/>
        <w:spacing w:before="120" w:after="200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jc w:val="both"/>
      </w:pPr>
      <w:proofErr w:type="gramStart"/>
      <w:r>
        <w:rPr>
          <w:highlight w:val="green"/>
        </w:rPr>
        <w:t>Implementada</w:t>
      </w:r>
      <w:proofErr w:type="gramEnd"/>
      <w:r>
        <w:t xml:space="preserve">. </w:t>
      </w:r>
    </w:p>
    <w:p w:rsidR="002E6C1E" w:rsidRDefault="001877EC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200"/>
        <w:jc w:val="both"/>
        <w:rPr>
          <w:b/>
          <w:i/>
        </w:rPr>
      </w:pPr>
      <w:r>
        <w:rPr>
          <w:b/>
          <w:i/>
          <w:highlight w:val="white"/>
        </w:rPr>
        <w:t>Proposição 5.1.3</w:t>
      </w:r>
      <w:r>
        <w:rPr>
          <w:b/>
          <w:i/>
        </w:rPr>
        <w:t xml:space="preserve"> - </w:t>
      </w:r>
      <w:r>
        <w:rPr>
          <w:b/>
          <w:i/>
        </w:rPr>
        <w:t>Recomendar à Presidência que, no prazo de 30 dias, institua grupo de trabalho visando à realização de estudos e apresentação de proposta de atualização do Plano de Classificação das Informações e Documentos e tabela de temporalidade afetos aos cartórios el</w:t>
      </w:r>
      <w:r>
        <w:rPr>
          <w:b/>
          <w:i/>
        </w:rPr>
        <w:t xml:space="preserve">eitorais, instituídos por meio da Resolução Administrativa nº 14, de 10 de dezembro de 2003, estabelecendo, ainda, procedimentos para a transferência de documentos para arquivamento intermediário e permanente, no Arquivo Central (ref. subitem </w:t>
      </w:r>
      <w:proofErr w:type="gramStart"/>
      <w:r>
        <w:rPr>
          <w:b/>
          <w:i/>
        </w:rPr>
        <w:t>3.1.3)</w:t>
      </w:r>
      <w:proofErr w:type="gramEnd"/>
    </w:p>
    <w:p w:rsidR="002E6C1E" w:rsidRDefault="001877EC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200"/>
        <w:jc w:val="both"/>
        <w:rPr>
          <w:i/>
        </w:rPr>
      </w:pPr>
      <w:r>
        <w:rPr>
          <w:i/>
        </w:rPr>
        <w:t>Achado</w:t>
      </w:r>
      <w:r>
        <w:rPr>
          <w:i/>
        </w:rPr>
        <w:t xml:space="preserve">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Desatualização do Plano de Classificação de Documentos dos Cartórios Eleitorais.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Providências adotadas e comentários dos gestores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A Presidência determinou a constituição de grupo de trabalho para, no prazo de 90 (noventa) dias, realizar estud</w:t>
      </w:r>
      <w:r>
        <w:rPr>
          <w:highlight w:val="white"/>
        </w:rPr>
        <w:t>os e apresentar proposta de atualização do Plano de Classificação das Informações e Documentos e tabela de temporalidade afetos aos cartórios eleitorais, instituídos por meio da Resolução n.º 14/2003, e estabelecer procedimentos para a transferência de doc</w:t>
      </w:r>
      <w:r>
        <w:rPr>
          <w:highlight w:val="white"/>
        </w:rPr>
        <w:t xml:space="preserve">umentos para arquivamento intermediário e permanente, no Arquivo Central. (SEI nº 0049779-69.2019.6.05.8000, doc. nº 0030652).                                                                                                        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Verificou-se que foi desi</w:t>
      </w:r>
      <w:r>
        <w:rPr>
          <w:highlight w:val="white"/>
        </w:rPr>
        <w:t xml:space="preserve">gnado Grupo de trabalho por meio da Portaria da Presidência nº 456, de 11 de novembro de 2019 (SEI nº 0049779-69.2019.6.05.8000, doc. nº 0030658), com a finalidade </w:t>
      </w:r>
      <w:proofErr w:type="gramStart"/>
      <w:r>
        <w:rPr>
          <w:highlight w:val="white"/>
        </w:rPr>
        <w:t>de,</w:t>
      </w:r>
      <w:proofErr w:type="gramEnd"/>
      <w:r>
        <w:rPr>
          <w:highlight w:val="white"/>
        </w:rPr>
        <w:t xml:space="preserve"> observado o prazo de 90 dias, realizar estudos e apresentar proposta de atualização do P</w:t>
      </w:r>
      <w:r>
        <w:rPr>
          <w:highlight w:val="white"/>
        </w:rPr>
        <w:t xml:space="preserve">lano de </w:t>
      </w:r>
      <w:r>
        <w:rPr>
          <w:highlight w:val="white"/>
        </w:rPr>
        <w:lastRenderedPageBreak/>
        <w:t>Classificação das Informações e Documentos e Tabela de Temporalidade afetos aos cartórios eleitorais instituídos por meio da Resolução n.º 14/2003, bem como estabelecer procedimentos para a transferência de documentos para arquivamento intermediári</w:t>
      </w:r>
      <w:r>
        <w:rPr>
          <w:highlight w:val="white"/>
        </w:rPr>
        <w:t xml:space="preserve">o e permanente, no Arquivo Central.                                                                           </w:t>
      </w:r>
    </w:p>
    <w:p w:rsidR="002E6C1E" w:rsidRDefault="001877EC">
      <w:pPr>
        <w:keepNext/>
        <w:spacing w:before="120" w:after="200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keepNext/>
        <w:spacing w:before="120" w:after="200"/>
        <w:jc w:val="both"/>
      </w:pPr>
      <w:r>
        <w:t xml:space="preserve">Tendo em vista instituição da Portaria da Presidência nº 456, de 11 de novembro de 2019 </w:t>
      </w:r>
      <w:r>
        <w:rPr>
          <w:highlight w:val="white"/>
        </w:rPr>
        <w:t>(SEI nº 0049779-69.2019.6.</w:t>
      </w:r>
      <w:r>
        <w:rPr>
          <w:highlight w:val="white"/>
        </w:rPr>
        <w:t>05.8000, Doc. nº 0030658)</w:t>
      </w:r>
      <w:r>
        <w:t>, com a finalidade de realizar estudos e apresentar proposta de atualização do Plano de Classificação das Informações e Documentos e Tabela de Temporalidade afetos aos cartórios eleitorais instituídos por meio da Resolução n.º 14/2</w:t>
      </w:r>
      <w:r>
        <w:t xml:space="preserve">003, bem como estabelecer procedimentos para a transferência de documentos para arquivamento intermediário e permanente, no Arquivo Central, a equipe de auditoria concluiu pelo saneamento da fragilidade evidenciada. </w:t>
      </w:r>
    </w:p>
    <w:p w:rsidR="002E6C1E" w:rsidRDefault="001877EC">
      <w:pPr>
        <w:keepNext/>
        <w:spacing w:before="120" w:after="200"/>
        <w:rPr>
          <w:i/>
        </w:rPr>
      </w:pPr>
      <w:r>
        <w:rPr>
          <w:i/>
        </w:rPr>
        <w:t>Evidências</w:t>
      </w:r>
    </w:p>
    <w:p w:rsidR="002E6C1E" w:rsidRDefault="001877EC">
      <w:pPr>
        <w:keepNext/>
        <w:spacing w:before="120" w:after="200"/>
        <w:jc w:val="both"/>
        <w:rPr>
          <w:color w:val="38761D"/>
          <w:highlight w:val="white"/>
        </w:rPr>
      </w:pPr>
      <w:r>
        <w:t xml:space="preserve">Portaria da Presidência </w:t>
      </w:r>
      <w:proofErr w:type="gramStart"/>
      <w:r>
        <w:t xml:space="preserve">nº </w:t>
      </w:r>
      <w:proofErr w:type="spellStart"/>
      <w:r>
        <w:t>n</w:t>
      </w:r>
      <w:r>
        <w:t>º</w:t>
      </w:r>
      <w:proofErr w:type="spellEnd"/>
      <w:proofErr w:type="gramEnd"/>
      <w:r>
        <w:t xml:space="preserve"> 456, de 11 de novembro de 2019; </w:t>
      </w:r>
      <w:r>
        <w:rPr>
          <w:highlight w:val="white"/>
        </w:rPr>
        <w:t xml:space="preserve">SEI nº 0049779-69.2019.6.05.8000,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0030652 e 0030658)</w:t>
      </w:r>
      <w:r>
        <w:rPr>
          <w:color w:val="38761D"/>
          <w:highlight w:val="white"/>
        </w:rPr>
        <w:t>.</w:t>
      </w:r>
    </w:p>
    <w:p w:rsidR="002E6C1E" w:rsidRDefault="001877EC">
      <w:pPr>
        <w:keepNext/>
        <w:spacing w:before="120" w:after="200"/>
        <w:jc w:val="both"/>
        <w:rPr>
          <w:i/>
        </w:rPr>
      </w:pPr>
      <w:r>
        <w:rPr>
          <w:highlight w:val="white"/>
        </w:rPr>
        <w:t xml:space="preserve"> </w:t>
      </w:r>
      <w:r>
        <w:rPr>
          <w:i/>
        </w:rPr>
        <w:t>Conclusão</w:t>
      </w:r>
    </w:p>
    <w:p w:rsidR="002E6C1E" w:rsidRDefault="001877EC">
      <w:pPr>
        <w:keepNext/>
        <w:spacing w:before="120" w:after="200"/>
        <w:jc w:val="both"/>
      </w:pPr>
      <w:proofErr w:type="gramStart"/>
      <w:r>
        <w:rPr>
          <w:highlight w:val="green"/>
        </w:rPr>
        <w:t>Implementada</w:t>
      </w:r>
      <w:proofErr w:type="gramEnd"/>
      <w:r>
        <w:t>.</w:t>
      </w:r>
    </w:p>
    <w:p w:rsidR="002E6C1E" w:rsidRDefault="001877EC">
      <w:pPr>
        <w:keepNext/>
        <w:spacing w:before="120" w:after="200"/>
        <w:jc w:val="both"/>
        <w:rPr>
          <w:b/>
          <w:i/>
          <w:highlight w:val="white"/>
        </w:rPr>
      </w:pPr>
      <w:r>
        <w:rPr>
          <w:b/>
          <w:i/>
        </w:rPr>
        <w:t xml:space="preserve">Proposição </w:t>
      </w:r>
      <w:r>
        <w:rPr>
          <w:b/>
          <w:i/>
          <w:highlight w:val="white"/>
        </w:rPr>
        <w:t>5.1.4 - Recomendar ao grupo de trabalho a ser designado em atendimento à proposição anterior que, observado o prazo assinala</w:t>
      </w:r>
      <w:r>
        <w:rPr>
          <w:b/>
          <w:i/>
          <w:highlight w:val="white"/>
        </w:rPr>
        <w:t>do no respectivo ato de instituição, realize estudos e apresente proposta de atualização do Plano de Classificação das Informações e Documentos e tabela de temporalidade afetos aos cartórios eleitorais, instituídos por meio da Resolução Administrativa nº 1</w:t>
      </w:r>
      <w:r>
        <w:rPr>
          <w:b/>
          <w:i/>
          <w:highlight w:val="white"/>
        </w:rPr>
        <w:t xml:space="preserve">4, de 10 de dezembro de 2003, estabelecendo, ainda, procedimentos para a transferência de documentos para arquivamento intermediário e permanente, no Arquivo Central (ref. subitem </w:t>
      </w:r>
      <w:proofErr w:type="gramStart"/>
      <w:r>
        <w:rPr>
          <w:b/>
          <w:i/>
          <w:highlight w:val="white"/>
        </w:rPr>
        <w:t>3.1.3)</w:t>
      </w:r>
      <w:proofErr w:type="gramEnd"/>
      <w:r>
        <w:rPr>
          <w:b/>
          <w:i/>
          <w:highlight w:val="white"/>
        </w:rPr>
        <w:t xml:space="preserve">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Achado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Desatualização do Plano de Classificação de Docu</w:t>
      </w:r>
      <w:r>
        <w:rPr>
          <w:highlight w:val="white"/>
        </w:rPr>
        <w:t>mentos dos Cartórios Eleitorais.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Providências adotadas e comentários dos gestores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Em resposta a RDI nº 31/2021/SEAGO/COAUD, SEI nº 0010656-93.2021.6.05.8000,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1636321, a Coordenadora do Grupo de trabalho instituído pela Portaria da Presidência nº 45</w:t>
      </w:r>
      <w:r>
        <w:rPr>
          <w:highlight w:val="white"/>
        </w:rPr>
        <w:t>6/2019 informou que em 11 de novembro de 2019, através da Portaria da Presidência nº 456, foi instituído o Grupo de Trabalho com o intuito de realizar estudos e apresentar proposta de atualização do Plano de Classificação das Informações e Documentos e Tab</w:t>
      </w:r>
      <w:r>
        <w:rPr>
          <w:highlight w:val="white"/>
        </w:rPr>
        <w:t>ela de Temporalidade afetos aos cartórios eleitorais instituídos por meio da Resolução n.º 14/2003, bem como estabelecer procedimentos para a transferência de documentos para arquivamento intermediário e permanente, no Arquivo Central. Relatou que, ao fina</w:t>
      </w:r>
      <w:r>
        <w:rPr>
          <w:highlight w:val="white"/>
        </w:rPr>
        <w:t xml:space="preserve">l dos trabalhos, o Grupo apresentou proposta de alteração da Resolução Administrativa nº 14/2003, bem como uma minuta do novo Plano de Classificação das Informações e Documentos e Tabela de Temporalidade dos Cartórios Eleitorais do Estado e </w:t>
      </w:r>
      <w:r>
        <w:rPr>
          <w:highlight w:val="white"/>
        </w:rPr>
        <w:lastRenderedPageBreak/>
        <w:t>que tais docume</w:t>
      </w:r>
      <w:r>
        <w:rPr>
          <w:highlight w:val="white"/>
        </w:rPr>
        <w:t xml:space="preserve">ntos foram remetidos à Presidência do E. </w:t>
      </w:r>
      <w:proofErr w:type="gramStart"/>
      <w:r>
        <w:rPr>
          <w:highlight w:val="white"/>
        </w:rPr>
        <w:t>Tribunal através do Processo SEI</w:t>
      </w:r>
      <w:proofErr w:type="gramEnd"/>
      <w:r>
        <w:rPr>
          <w:highlight w:val="white"/>
        </w:rPr>
        <w:t xml:space="preserve"> nº 0048225-65.2020.6.05.8000, para análise e adoção das demais providências cabíveis. Por fim, informou que o Grupo de Trabalho, exaurido o prazo de sua constituição em 11/02/2020 e </w:t>
      </w:r>
      <w:r>
        <w:rPr>
          <w:highlight w:val="white"/>
        </w:rPr>
        <w:t>concluídos os trabalhos, foi encerrado logo em seguida.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Apesar de ter sido encerrado o grupo de trabalho, verificou-se que: embora tenha sido apresentada minuta com sugestões de alterações da tabela de temporalidade, conforme</w:t>
      </w:r>
      <w:r>
        <w:rPr>
          <w:highlight w:val="white"/>
        </w:rPr>
        <w:t xml:space="preserve"> SEI nº 0048225-65.2020.6.05.8000, a minuta carece de aprovação e publicação. Diante do exposto, a equipe de auditoria concluiu pela subsistência da fragilidade evidenciada.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Evidências</w:t>
      </w:r>
    </w:p>
    <w:p w:rsidR="002E6C1E" w:rsidRDefault="001877EC">
      <w:pPr>
        <w:spacing w:after="240" w:line="240" w:lineRule="auto"/>
        <w:jc w:val="both"/>
        <w:rPr>
          <w:color w:val="38761D"/>
          <w:highlight w:val="white"/>
        </w:rPr>
      </w:pPr>
      <w:r>
        <w:rPr>
          <w:highlight w:val="white"/>
        </w:rPr>
        <w:t>SEI nº 0048225-65.2020.6.05.8000, docs. 1316652 e 1612610</w:t>
      </w:r>
      <w:r>
        <w:rPr>
          <w:color w:val="38761D"/>
          <w:highlight w:val="white"/>
        </w:rPr>
        <w:t xml:space="preserve">; </w:t>
      </w:r>
      <w:r>
        <w:rPr>
          <w:highlight w:val="white"/>
        </w:rPr>
        <w:t>SEI nº 0010656-93.2021.6.05.8000, doc. 1636321.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jc w:val="both"/>
      </w:pPr>
      <w:r>
        <w:rPr>
          <w:highlight w:val="yellow"/>
        </w:rPr>
        <w:t xml:space="preserve">Em </w:t>
      </w:r>
      <w:proofErr w:type="gramStart"/>
      <w:r>
        <w:rPr>
          <w:highlight w:val="yellow"/>
        </w:rPr>
        <w:t>implementação</w:t>
      </w:r>
      <w:proofErr w:type="gramEnd"/>
      <w:r>
        <w:rPr>
          <w:highlight w:val="white"/>
        </w:rPr>
        <w:t xml:space="preserve">.     </w:t>
      </w:r>
    </w:p>
    <w:p w:rsidR="002E6C1E" w:rsidRDefault="001877EC">
      <w:pPr>
        <w:keepNext/>
        <w:spacing w:before="120" w:after="200"/>
        <w:jc w:val="both"/>
        <w:rPr>
          <w:b/>
          <w:i/>
          <w:highlight w:val="white"/>
        </w:rPr>
      </w:pPr>
      <w:r>
        <w:rPr>
          <w:b/>
          <w:i/>
          <w:highlight w:val="white"/>
        </w:rPr>
        <w:t xml:space="preserve">Proposição 5.1.5 - Recomendar à SGA que, em parceria com a STI, no prazo de 120 dias, realize estudos e estabeleça rotina de levantamento periódico do custo de armazenagem de </w:t>
      </w:r>
      <w:r>
        <w:rPr>
          <w:b/>
          <w:i/>
          <w:highlight w:val="white"/>
        </w:rPr>
        <w:t xml:space="preserve">documentos do Tribunal, com vistas a instrumentalizar a tomada de decisão quanto à gestão documental (ref. subitem </w:t>
      </w:r>
      <w:proofErr w:type="gramStart"/>
      <w:r>
        <w:rPr>
          <w:b/>
          <w:i/>
          <w:highlight w:val="white"/>
        </w:rPr>
        <w:t>3.1.4)</w:t>
      </w:r>
      <w:proofErr w:type="gramEnd"/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Achado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Insuficiência de estudos periódicos acerca dos custos de armazenagem de documentos.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Providências adotadas e comentários dos gestores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Em resposta a RDI nº 33/2021/SEAGO/COAUD, SEI nº 0010654-26.2021.6.05.8000,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1633837, a COGED informou que o estudo foi realizado no processo n.º 0049749-34.2019.6.05.8000,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0030096.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Em respost</w:t>
      </w:r>
      <w:r>
        <w:rPr>
          <w:highlight w:val="white"/>
        </w:rPr>
        <w:t xml:space="preserve">a a RDI nº 36/2021/SEAGO/COAUD, SEI nº 0010647-34.2021.6.05.8000,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 1636697, a SEINFRA informou que uma resposta adequada neste processo, como auxiliar a SGA nesta recomendação, requer um inventário dos locais de armazenagem de documentos, para que </w:t>
      </w:r>
      <w:r>
        <w:rPr>
          <w:highlight w:val="white"/>
        </w:rPr>
        <w:t>desses sejam extraídos os que envolvam algum recurso computacional. Assim, sugeriu o encaminhamento dos autos primeiro à SGA para que possa verificar preliminarmente o que considera para este achado. Acrescentou que, sugere entre as opções com recursos com</w:t>
      </w:r>
      <w:r>
        <w:rPr>
          <w:highlight w:val="white"/>
        </w:rPr>
        <w:t>putacionais, o GED (sistema de documentos digitalizados), os bancos de dados de diversos sistemas administrativos (e.g., PAD, SEI, etc.). Informou ainda a possibilidade de envolver os repositórios como a intranet e o servidor de arquivos de escritório (pas</w:t>
      </w:r>
      <w:r>
        <w:rPr>
          <w:highlight w:val="white"/>
        </w:rPr>
        <w:t xml:space="preserve">tas publica/restrita) das unidades. 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1636737 do mesmo SEI, a COSINF informou que no documento nº 0162360 do SEI nº  0049749-34.2019.6.05.8000 os estudos foram realizados, com oitiva da STI, e a rotina de levantamento anual do custo de armazenagem</w:t>
      </w:r>
      <w:r>
        <w:rPr>
          <w:highlight w:val="white"/>
        </w:rPr>
        <w:t xml:space="preserve"> de documentos do Tribunal foi estabelecida e que </w:t>
      </w:r>
      <w:r>
        <w:rPr>
          <w:highlight w:val="white"/>
        </w:rPr>
        <w:lastRenderedPageBreak/>
        <w:t>quanto ao levantamento referente a 2021, aguarda nova oitiva da SGA para o provimento das informações pertinentes ao armazenamento digital de documentos.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Em que pese </w:t>
      </w:r>
      <w:proofErr w:type="gramStart"/>
      <w:r>
        <w:rPr>
          <w:highlight w:val="white"/>
        </w:rPr>
        <w:t>as</w:t>
      </w:r>
      <w:proofErr w:type="gramEnd"/>
      <w:r>
        <w:rPr>
          <w:highlight w:val="white"/>
        </w:rPr>
        <w:t xml:space="preserve"> manife</w:t>
      </w:r>
      <w:r>
        <w:rPr>
          <w:highlight w:val="white"/>
        </w:rPr>
        <w:t>stações apresentadas pela COGED, SEINFRA e COSINF, não se verificou comprovação de rotina de levantamento periódico do custo de armazenagem de documentos. Portanto, a equipe de auditoria concluiu pela subsistência da fragilidade apontada.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Evidências</w:t>
      </w:r>
    </w:p>
    <w:p w:rsidR="002E6C1E" w:rsidRDefault="001877EC">
      <w:pPr>
        <w:spacing w:after="240" w:line="240" w:lineRule="auto"/>
        <w:jc w:val="both"/>
        <w:rPr>
          <w:color w:val="38761D"/>
          <w:highlight w:val="white"/>
        </w:rPr>
      </w:pPr>
      <w:r>
        <w:rPr>
          <w:highlight w:val="white"/>
        </w:rPr>
        <w:t>SEI nº</w:t>
      </w:r>
      <w:r>
        <w:rPr>
          <w:highlight w:val="white"/>
        </w:rPr>
        <w:t xml:space="preserve"> 0010654-26.2021.6.05.8000,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1633837; SEI nº 0049749-34.2019.6.05.8000,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0030096 e nº 0162360; SEI nº 0010647-34.2021.6.05.8000,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1636697 e nº 1636737</w:t>
      </w:r>
      <w:r>
        <w:rPr>
          <w:color w:val="38761D"/>
          <w:highlight w:val="white"/>
        </w:rPr>
        <w:t>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jc w:val="both"/>
      </w:pPr>
      <w:r>
        <w:rPr>
          <w:highlight w:val="yellow"/>
        </w:rPr>
        <w:t xml:space="preserve">Em </w:t>
      </w:r>
      <w:proofErr w:type="gramStart"/>
      <w:r>
        <w:rPr>
          <w:highlight w:val="yellow"/>
        </w:rPr>
        <w:t>implementação</w:t>
      </w:r>
      <w:proofErr w:type="gramEnd"/>
      <w:r>
        <w:t xml:space="preserve"> </w:t>
      </w:r>
      <w:r>
        <w:rPr>
          <w:highlight w:val="white"/>
        </w:rPr>
        <w:t xml:space="preserve">    </w:t>
      </w:r>
    </w:p>
    <w:p w:rsidR="002E6C1E" w:rsidRDefault="001877EC">
      <w:pPr>
        <w:keepNext/>
        <w:spacing w:before="120" w:after="200"/>
        <w:jc w:val="both"/>
        <w:rPr>
          <w:b/>
          <w:i/>
          <w:highlight w:val="white"/>
        </w:rPr>
      </w:pPr>
      <w:r>
        <w:rPr>
          <w:b/>
          <w:i/>
        </w:rPr>
        <w:t xml:space="preserve">Proposição </w:t>
      </w:r>
      <w:r>
        <w:rPr>
          <w:b/>
          <w:i/>
          <w:highlight w:val="white"/>
        </w:rPr>
        <w:t xml:space="preserve">5.1.6 - Determinar aos Comitês Gestores </w:t>
      </w:r>
      <w:r>
        <w:rPr>
          <w:b/>
          <w:i/>
          <w:highlight w:val="white"/>
        </w:rPr>
        <w:t xml:space="preserve">do </w:t>
      </w:r>
      <w:proofErr w:type="spellStart"/>
      <w:proofErr w:type="gramStart"/>
      <w:r>
        <w:rPr>
          <w:b/>
          <w:i/>
          <w:highlight w:val="white"/>
        </w:rPr>
        <w:t>PJe</w:t>
      </w:r>
      <w:proofErr w:type="spellEnd"/>
      <w:proofErr w:type="gramEnd"/>
      <w:r>
        <w:rPr>
          <w:b/>
          <w:i/>
          <w:highlight w:val="white"/>
        </w:rPr>
        <w:t xml:space="preserve"> e do PAD que, no prazo de 120 dias, realizem estudos e indiquem à Presidência as ações necessárias para parametrização dos referidos sistemas, viabilizando: adequação aos dispositivos da Lei nº 12.527/2011, inclusive no que tange ao registro dos nív</w:t>
      </w:r>
      <w:r>
        <w:rPr>
          <w:b/>
          <w:i/>
          <w:highlight w:val="white"/>
        </w:rPr>
        <w:t>eis de sigilo (ultrassecreto, secreto e reservado) e controle do prazo da respectiva restrição de acesso; bem como controle de prazos para a guarda e destinação de documentos e processos, em face da tabela de temporalidade vigente (ref. subitem 3.1.5)</w:t>
      </w:r>
    </w:p>
    <w:p w:rsidR="002E6C1E" w:rsidRDefault="001877EC">
      <w:pPr>
        <w:keepNext/>
        <w:spacing w:before="120" w:after="200"/>
        <w:jc w:val="both"/>
        <w:rPr>
          <w:i/>
        </w:rPr>
      </w:pPr>
      <w:r>
        <w:rPr>
          <w:i/>
        </w:rPr>
        <w:t>Acha</w:t>
      </w:r>
      <w:r>
        <w:rPr>
          <w:i/>
        </w:rPr>
        <w:t>do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Insuficiência de controles dos sistemas informatizados de suporte à tramitação de documentos e processos.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Providências adotadas e comentários dos gestores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Em resposta a RDI nº 29/2021/SEAGO/COAUD, SEI nº 0010651-71.2021.6.05.8000, doc. 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1632799, a Comissão Gestora do SEI informou que, no entendimento do grupo, o Sistema SEI está parcialmente adequado à Lei nº 12.527/2011, tendo em vista que: o sistema permite a classificação de processos e documentos nos níveis de acesso: sigiloso, restr</w:t>
      </w:r>
      <w:r>
        <w:rPr>
          <w:highlight w:val="white"/>
        </w:rPr>
        <w:t>ito e público, bem como que seja informado o grau de sigilo (ultrassecreto, secreto ou reservado) em um processo ou documento sigiloso; o SEI do TRE-BA foi parametrizado para que seja obrigatória a informação da hipótese legal que justifique a restrição de</w:t>
      </w:r>
      <w:r>
        <w:rPr>
          <w:highlight w:val="white"/>
        </w:rPr>
        <w:t xml:space="preserve"> acesso a processos ou documentos que não sejam classificados como públicos; na versão atual do sistema em uso por este Regional (versão 3.0.15) não existe funcionalidade que permita o controle de prazo da restrição de acesso (informações pessoais: 100 ano</w:t>
      </w:r>
      <w:r>
        <w:rPr>
          <w:highlight w:val="white"/>
        </w:rPr>
        <w:t>s, ultrassecreta: 25 anos, secreta: 15 anos e reservada: 5 anos); a versão do SEI em uso por este Regional não realiza a gestão documental, isto é, o controle dos prazos de guarda e a destinação final de documentos e processos. Contudo, estão cadastrados n</w:t>
      </w:r>
      <w:r>
        <w:rPr>
          <w:highlight w:val="white"/>
        </w:rPr>
        <w:t xml:space="preserve">a “tabela de assuntos” do sistema </w:t>
      </w:r>
      <w:proofErr w:type="gramStart"/>
      <w:r>
        <w:rPr>
          <w:highlight w:val="white"/>
        </w:rPr>
        <w:t>SEI,</w:t>
      </w:r>
      <w:proofErr w:type="gramEnd"/>
      <w:r>
        <w:rPr>
          <w:highlight w:val="white"/>
        </w:rPr>
        <w:t xml:space="preserve"> os prazos de guarda dos documentos no arquivo corrente e intermediário e sua destinação final (guarda permanente ou eliminação, determinados na tabela de temporalidade de documentos vigente), que são a base de dados n</w:t>
      </w:r>
      <w:r>
        <w:rPr>
          <w:highlight w:val="white"/>
        </w:rPr>
        <w:t>ecessária para a referida gestão.  Acrescentou que, em contato com uma colega da Seção de Gestão Documental - SEDOC do TRE-MG</w:t>
      </w:r>
      <w:proofErr w:type="gramStart"/>
      <w:r>
        <w:rPr>
          <w:highlight w:val="white"/>
        </w:rPr>
        <w:t>, teve</w:t>
      </w:r>
      <w:proofErr w:type="gramEnd"/>
      <w:r>
        <w:rPr>
          <w:highlight w:val="white"/>
        </w:rPr>
        <w:t xml:space="preserve"> conhecimento que a </w:t>
      </w:r>
      <w:r>
        <w:rPr>
          <w:highlight w:val="white"/>
        </w:rPr>
        <w:lastRenderedPageBreak/>
        <w:t>versão do SEI em uso nesse Tribunal (versão 3.2.4), mais atual que a utilizada no TRE-BA, também não disp</w:t>
      </w:r>
      <w:r>
        <w:rPr>
          <w:highlight w:val="white"/>
        </w:rPr>
        <w:t>õe do módulo de arquivamento e que a colega salientou, ainda, que soube do desenvolvimento de um módulo de gestão documental para o SEI, pelo Ministério da Economia. Informou que, após pesquisas na Internet, encontraram um vídeo do Workshop da apresentação</w:t>
      </w:r>
      <w:r>
        <w:rPr>
          <w:highlight w:val="white"/>
        </w:rPr>
        <w:t xml:space="preserve"> do Módulo de Arquivamento/Gestão Documental do SEI, realizado em 22/10/2018 (</w:t>
      </w:r>
      <w:proofErr w:type="gramStart"/>
      <w:r>
        <w:rPr>
          <w:highlight w:val="white"/>
        </w:rPr>
        <w:t>https</w:t>
      </w:r>
      <w:proofErr w:type="gramEnd"/>
      <w:r>
        <w:rPr>
          <w:highlight w:val="white"/>
        </w:rPr>
        <w:t>://www.youtube.com/watch?v=FLxxPlsIQSA). De acordo com essa apresentação, a conclusão do referido módulo foi prevista para fevereiro/2019. Entretanto, não localizaram dentre</w:t>
      </w:r>
      <w:r>
        <w:rPr>
          <w:highlight w:val="white"/>
        </w:rPr>
        <w:t xml:space="preserve"> aqueles disponíveis no portal do Software Público, </w:t>
      </w:r>
      <w:proofErr w:type="gramStart"/>
      <w:r>
        <w:rPr>
          <w:highlight w:val="white"/>
        </w:rPr>
        <w:t>https</w:t>
      </w:r>
      <w:proofErr w:type="gramEnd"/>
      <w:r>
        <w:rPr>
          <w:highlight w:val="white"/>
        </w:rPr>
        <w:t>://softwarepublico.gov.br/social/sei/plugins/modulos-para-o-sei. Relatou, por fim, que a Comissão efetuará novas consultas para verificar a possibilidade de utilização desse módulo.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Em resposta a RDI</w:t>
      </w:r>
      <w:r>
        <w:rPr>
          <w:highlight w:val="white"/>
        </w:rPr>
        <w:t xml:space="preserve"> nº 28/2021/SEAGO/COAUD, SEI nº 0010648-19.2021.6.05.8000,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1641505, o Secretário da Corregedoria informou que em decorrência da posse da  nova gestão do TRE-BA  em 27 de março de 2021, quando foi também empossado o novo Desembargador como Vice-Pres</w:t>
      </w:r>
      <w:r>
        <w:rPr>
          <w:highlight w:val="white"/>
        </w:rPr>
        <w:t>idente e  Juiz Corregedor do Tribunal Eleitoral Regional da Bahia, não teve contato com o Comitê Gestor do Processo Judicial Eletrônico (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 xml:space="preserve">) para desenvolver um estudo completo sobre o PJE e uma resposta para atendimento a esta Coordenadoria de Auditoria </w:t>
      </w:r>
      <w:r>
        <w:rPr>
          <w:highlight w:val="white"/>
        </w:rPr>
        <w:t>Interna.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spacing w:after="240" w:line="240" w:lineRule="auto"/>
        <w:jc w:val="both"/>
        <w:rPr>
          <w:color w:val="FF0000"/>
          <w:highlight w:val="white"/>
        </w:rPr>
      </w:pPr>
      <w:r>
        <w:rPr>
          <w:highlight w:val="white"/>
        </w:rPr>
        <w:t>Tendo em vista informação de que na versão do SEI utilizada pelo TRE-BA não existe funcionalidade que permita o controle de prazo da restrição de acesso (informações pessoais: 100 anos, ultrassecreta: 25 anos, secret</w:t>
      </w:r>
      <w:r>
        <w:rPr>
          <w:highlight w:val="white"/>
        </w:rPr>
        <w:t xml:space="preserve">a: 15 anos e reservada: </w:t>
      </w:r>
      <w:proofErr w:type="gramStart"/>
      <w:r>
        <w:rPr>
          <w:highlight w:val="white"/>
        </w:rPr>
        <w:t>5</w:t>
      </w:r>
      <w:proofErr w:type="gramEnd"/>
      <w:r>
        <w:rPr>
          <w:highlight w:val="white"/>
        </w:rPr>
        <w:t xml:space="preserve"> anos) e que o sistema não permite realizar a gestão documental, isto é, o controle dos prazos de guarda e a destinação final de documentos e processos e ainda, informação da Corregedoria de que, em virtude da reestruturação ocorri</w:t>
      </w:r>
      <w:r>
        <w:rPr>
          <w:highlight w:val="white"/>
        </w:rPr>
        <w:t>da por meio da Resolução Administrativa TRE-BA nº 4/2021, não foi possível manter contato com o Comitê Gestor do Processo Judicial Eletrônico (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>) para desenvolver um estudo completo sobre o PJE, a equipe de auditoria concluiu pela subsistência da fragili</w:t>
      </w:r>
      <w:r>
        <w:rPr>
          <w:highlight w:val="white"/>
        </w:rPr>
        <w:t xml:space="preserve">dade. 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Evidências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SEI nº 0010651-71.2021.6.05.8000,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1632799; SEI nº 0010648-19.2021.6.05.8000,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 1641505.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jc w:val="both"/>
        <w:rPr>
          <w:b/>
          <w:i/>
          <w:highlight w:val="green"/>
        </w:rPr>
      </w:pPr>
      <w:r>
        <w:rPr>
          <w:highlight w:val="yellow"/>
        </w:rPr>
        <w:t xml:space="preserve">Em </w:t>
      </w:r>
      <w:proofErr w:type="gramStart"/>
      <w:r>
        <w:rPr>
          <w:highlight w:val="yellow"/>
        </w:rPr>
        <w:t>implementação</w:t>
      </w:r>
      <w:proofErr w:type="gramEnd"/>
      <w:r>
        <w:t xml:space="preserve"> </w:t>
      </w:r>
    </w:p>
    <w:p w:rsidR="002E6C1E" w:rsidRDefault="001877EC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/>
          <w:i/>
          <w:highlight w:val="white"/>
        </w:rPr>
      </w:pPr>
      <w:r>
        <w:rPr>
          <w:b/>
          <w:i/>
          <w:highlight w:val="white"/>
        </w:rPr>
        <w:t xml:space="preserve">Proposição 5.1.7 - </w:t>
      </w:r>
      <w:r>
        <w:rPr>
          <w:b/>
          <w:i/>
          <w:highlight w:val="white"/>
        </w:rPr>
        <w:t xml:space="preserve">Recomendar à Presidência que determine à ASSESP, no prazo de 30 dias do recebimento das indicações encaminhadas pelos Comitês Gestores do </w:t>
      </w:r>
      <w:proofErr w:type="spellStart"/>
      <w:proofErr w:type="gramStart"/>
      <w:r>
        <w:rPr>
          <w:b/>
          <w:i/>
          <w:highlight w:val="white"/>
        </w:rPr>
        <w:t>PJe</w:t>
      </w:r>
      <w:proofErr w:type="spellEnd"/>
      <w:proofErr w:type="gramEnd"/>
      <w:r>
        <w:rPr>
          <w:b/>
          <w:i/>
          <w:highlight w:val="white"/>
        </w:rPr>
        <w:t xml:space="preserve"> e do PAD, oficiar os Comitês Gestores Nacionais, solicitando parametrização dos respectivos sistemas, consoante pr</w:t>
      </w:r>
      <w:r>
        <w:rPr>
          <w:b/>
          <w:i/>
          <w:highlight w:val="white"/>
        </w:rPr>
        <w:t>evisto na LAI (ref. subitem 3.1.5)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i/>
        </w:rPr>
        <w:t>Achado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Insuficiência de controles dos sistemas informatizados de suporte à tramitação de documentos e processos.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lastRenderedPageBreak/>
        <w:t>Providências adotadas e comentários dos gestores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Verificou-se resposta da Comissão Gestora do S</w:t>
      </w:r>
      <w:r>
        <w:rPr>
          <w:highlight w:val="white"/>
        </w:rPr>
        <w:t xml:space="preserve">EI, RDI nº 29/2021/SEAGO/COAUD, SEI nº 0010651-71.2021.6.05.8000,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1632799, que, no entendimento do grupo: o Sistema SEI está parcialmente adequado à Lei nº 12.527/2011, tendo em vista que: o sistema permite a classificação de processos e documentos</w:t>
      </w:r>
      <w:r>
        <w:rPr>
          <w:highlight w:val="white"/>
        </w:rPr>
        <w:t xml:space="preserve"> nos níveis de acesso: sigiloso, restrito e público, bem como que seja informado o grau de sigilo (ultrassecreto, secreto ou reservado) em um processo ou documento sigiloso; o SEI do TRE-BA foi parametrizado para que seja obrigatória a informação da hipóte</w:t>
      </w:r>
      <w:r>
        <w:rPr>
          <w:highlight w:val="white"/>
        </w:rPr>
        <w:t>se legal que justifique a restrição de acesso a processos ou documentos que não sejam classificados como públicos; na versão atual do sistema em uso por este Regional (versão 3.0.15) não existe funcionalidade que permita o controle de prazo da restrição de</w:t>
      </w:r>
      <w:r>
        <w:rPr>
          <w:highlight w:val="white"/>
        </w:rPr>
        <w:t xml:space="preserve"> acesso (informações pessoais: 100 anos, ultrassecreta: 25 anos, secreta: 15 anos e reservada: 5 anos); a versão do SEI em uso por este Regional não realiza a gestão documental, isto é, o controle dos prazos de guarda e a destinação final de documentos e p</w:t>
      </w:r>
      <w:r>
        <w:rPr>
          <w:highlight w:val="white"/>
        </w:rPr>
        <w:t>rocessos, embora estejam cadastrados na “tabela de assuntos” do sistema SEI, os prazos de guarda dos documentos no arquivo corrente e intermediário e sua destinação final (guarda permanente ou eliminação, determinados na tabela de temporalidade de document</w:t>
      </w:r>
      <w:r>
        <w:rPr>
          <w:highlight w:val="white"/>
        </w:rPr>
        <w:t>os vigente), que são a base de dados necessária para a referida gestão.  Observou-se ainda informação de que, em contato com uma colega da Seção de Gestão Documental - SEDOC do TRE-MG, a Comissão teve conhecimento que a versão do SEI em uso naquele Tribuna</w:t>
      </w:r>
      <w:r>
        <w:rPr>
          <w:highlight w:val="white"/>
        </w:rPr>
        <w:t>l (versão 3.2.4), mais atual que a utilizada no TRE-BA, também não dispõe do módulo de arquivamento e que a colega salientou, ainda, que soube do desenvolvimento de um módulo de gestão documental para o SEI, pelo Ministério da Economia. Constatou-se ainda,</w:t>
      </w:r>
      <w:r>
        <w:rPr>
          <w:highlight w:val="white"/>
        </w:rPr>
        <w:t xml:space="preserve"> informação da Comissão de que, após pesquisas na Internet, encontraram um vídeo do Workshop da apresentação do Módulo de Arquivamento/Gestão Documental do SEI, realizado em 22/10/2018 (</w:t>
      </w:r>
      <w:hyperlink r:id="rId17">
        <w:r>
          <w:rPr>
            <w:color w:val="1155CC"/>
            <w:highlight w:val="white"/>
            <w:u w:val="single"/>
          </w:rPr>
          <w:t>https:/</w:t>
        </w:r>
        <w:r>
          <w:rPr>
            <w:color w:val="1155CC"/>
            <w:highlight w:val="white"/>
            <w:u w:val="single"/>
          </w:rPr>
          <w:t>/www.youtube.com/watch?v=FLxxPlsIQSA</w:t>
        </w:r>
      </w:hyperlink>
      <w:r>
        <w:rPr>
          <w:highlight w:val="white"/>
        </w:rPr>
        <w:t xml:space="preserve">) e que de acordo com essa apresentação, a conclusão do referido módulo foi prevista para fevereiro/2019. Entretanto, não localizaram dentre aqueles disponíveis no portal do Software Público, </w:t>
      </w:r>
      <w:proofErr w:type="gramStart"/>
      <w:r>
        <w:rPr>
          <w:highlight w:val="white"/>
        </w:rPr>
        <w:t>https</w:t>
      </w:r>
      <w:proofErr w:type="gramEnd"/>
      <w:r>
        <w:rPr>
          <w:highlight w:val="white"/>
        </w:rPr>
        <w:t>://softwarepublico.gov.</w:t>
      </w:r>
      <w:r>
        <w:rPr>
          <w:highlight w:val="white"/>
        </w:rPr>
        <w:t>br/social/sei/plugins/modulos-para-o-sei. Relatou, por fim, que a Comissão efetuará novas consultas para verificar a possibilidade de utilização desse módulo.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Verificou-se ainda, que em resposta a RDI nº 28/2021/SEAGO/COAUD, SEI nº 0010648-19.2021.6.05.8000,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1641505, o Secretário da Corregedoria informou que em decorrência da posse da  nova gestão do TRE-BA  em 27 de março de 2021, quando foi também empo</w:t>
      </w:r>
      <w:r>
        <w:rPr>
          <w:highlight w:val="white"/>
        </w:rPr>
        <w:t>ssado o novo Desembargador como Vice-Presidente e  Juiz Corregedor do Tribunal Eleitoral Regional da Bahia, não teve contato com o Comitê Gestor do Processo Judicial Eletrônico (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>) para desenvolver um estudo completo sobre o PJE e uma resposta para atend</w:t>
      </w:r>
      <w:r>
        <w:rPr>
          <w:highlight w:val="white"/>
        </w:rPr>
        <w:t>imento a esta Coordenadoria de Auditoria Interna.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Desta forma, constatou-se não ser necessário envio de RDI à Presidência, solicitando informações acerca do cumprimento da recomendação, tendo em vista respostas da Comissão Gestora do SEI e do Comitê Gestor</w:t>
      </w:r>
      <w:r>
        <w:rPr>
          <w:highlight w:val="white"/>
        </w:rPr>
        <w:t xml:space="preserve"> do Processo Judicial Eletrônico (</w:t>
      </w:r>
      <w:proofErr w:type="spellStart"/>
      <w:proofErr w:type="gramStart"/>
      <w:r>
        <w:rPr>
          <w:highlight w:val="white"/>
        </w:rPr>
        <w:t>PJe</w:t>
      </w:r>
      <w:proofErr w:type="spellEnd"/>
      <w:proofErr w:type="gramEnd"/>
      <w:r>
        <w:rPr>
          <w:highlight w:val="white"/>
        </w:rPr>
        <w:t>), descritas acima.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spacing w:after="240" w:line="240" w:lineRule="auto"/>
        <w:jc w:val="both"/>
        <w:rPr>
          <w:color w:val="FF0000"/>
          <w:highlight w:val="white"/>
        </w:rPr>
      </w:pPr>
      <w:r>
        <w:rPr>
          <w:highlight w:val="white"/>
        </w:rPr>
        <w:t>Considerando informação de que na versão do SEI utilizada pelo TRE-BA não existe funcionalidade que permita o controle de prazo da restrição de acesso (informações pess</w:t>
      </w:r>
      <w:r>
        <w:rPr>
          <w:highlight w:val="white"/>
        </w:rPr>
        <w:t xml:space="preserve">oais: 100 anos, ultrassecreta: 25 anos, secreta: 15 anos e reservada: </w:t>
      </w:r>
      <w:proofErr w:type="gramStart"/>
      <w:r>
        <w:rPr>
          <w:highlight w:val="white"/>
        </w:rPr>
        <w:t>5</w:t>
      </w:r>
      <w:proofErr w:type="gramEnd"/>
      <w:r>
        <w:rPr>
          <w:highlight w:val="white"/>
        </w:rPr>
        <w:t xml:space="preserve"> anos) e que o sistema não permite realizar a gestão documental, isto é, o controle dos prazos de guarda e a destinação final de </w:t>
      </w:r>
      <w:r>
        <w:rPr>
          <w:highlight w:val="white"/>
        </w:rPr>
        <w:lastRenderedPageBreak/>
        <w:t>documentos e processos, e ainda informação da Corregedor</w:t>
      </w:r>
      <w:r>
        <w:rPr>
          <w:highlight w:val="white"/>
        </w:rPr>
        <w:t>ia de que em virtude da reestruturação ocorrida por meio da Resolução nº 4/2021, não foi possível manter contato com o Comitê Gestor do Processo Judicial Eletrônico (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 xml:space="preserve">) para desenvolver um estudo completo sobre o PJE, a equipe de auditoria concluiu pela </w:t>
      </w:r>
      <w:r>
        <w:rPr>
          <w:highlight w:val="white"/>
        </w:rPr>
        <w:t xml:space="preserve">subsistência da fragilidade evidenciada. 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Evidências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highlight w:val="white"/>
        </w:rPr>
        <w:t xml:space="preserve">SEI nº 0010651-71.2021.6.05.8000,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1632799; SEI nº 0010648-19.2021.6.05.8000,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1641505.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jc w:val="both"/>
        <w:rPr>
          <w:i/>
        </w:rPr>
      </w:pPr>
      <w:r>
        <w:rPr>
          <w:highlight w:val="yellow"/>
        </w:rPr>
        <w:t xml:space="preserve">Em </w:t>
      </w:r>
      <w:proofErr w:type="gramStart"/>
      <w:r>
        <w:rPr>
          <w:highlight w:val="yellow"/>
        </w:rPr>
        <w:t>implementação</w:t>
      </w:r>
      <w:proofErr w:type="gramEnd"/>
      <w:r>
        <w:t>.</w:t>
      </w:r>
    </w:p>
    <w:p w:rsidR="002E6C1E" w:rsidRDefault="001877EC">
      <w:pPr>
        <w:spacing w:before="120"/>
        <w:jc w:val="both"/>
        <w:rPr>
          <w:b/>
          <w:i/>
          <w:highlight w:val="white"/>
        </w:rPr>
      </w:pPr>
      <w:r>
        <w:rPr>
          <w:b/>
          <w:i/>
          <w:highlight w:val="white"/>
        </w:rPr>
        <w:t xml:space="preserve">Proposição 5.1.8 - Determinar aos Comitês Gestores do PAD e </w:t>
      </w:r>
      <w:proofErr w:type="spellStart"/>
      <w:proofErr w:type="gramStart"/>
      <w:r>
        <w:rPr>
          <w:b/>
          <w:i/>
          <w:highlight w:val="white"/>
        </w:rPr>
        <w:t>PJe</w:t>
      </w:r>
      <w:proofErr w:type="spellEnd"/>
      <w:proofErr w:type="gramEnd"/>
      <w:r>
        <w:rPr>
          <w:b/>
          <w:i/>
          <w:highlight w:val="white"/>
        </w:rPr>
        <w:t xml:space="preserve"> no Tribu</w:t>
      </w:r>
      <w:r>
        <w:rPr>
          <w:b/>
          <w:i/>
          <w:highlight w:val="white"/>
        </w:rPr>
        <w:t>nal que, no prazo de 120 dias após a parametrização dos sistemas, estabeleçam rotinas e procedimentos operacionais relativos às alterações processadas, promovendo a atualização dos manuais pertinentes (ref. subitem 3.1.5)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Achado de Auditoria</w:t>
      </w:r>
    </w:p>
    <w:p w:rsidR="002E6C1E" w:rsidRDefault="001877EC">
      <w:pPr>
        <w:spacing w:after="240" w:line="240" w:lineRule="auto"/>
        <w:jc w:val="both"/>
      </w:pPr>
      <w:r>
        <w:rPr>
          <w:highlight w:val="white"/>
        </w:rPr>
        <w:t xml:space="preserve">Insuficiência </w:t>
      </w:r>
      <w:r>
        <w:rPr>
          <w:highlight w:val="white"/>
        </w:rPr>
        <w:t>de controles dos sistemas informatizados de suporte à tramitação de documentos e processos.</w:t>
      </w:r>
    </w:p>
    <w:p w:rsidR="002E6C1E" w:rsidRDefault="001877EC">
      <w:pPr>
        <w:spacing w:after="240" w:line="240" w:lineRule="auto"/>
        <w:jc w:val="both"/>
        <w:rPr>
          <w:i/>
          <w:highlight w:val="white"/>
        </w:rPr>
      </w:pPr>
      <w:r>
        <w:rPr>
          <w:i/>
          <w:highlight w:val="white"/>
        </w:rPr>
        <w:t>Providências adotadas e comentários dos gestores</w:t>
      </w:r>
    </w:p>
    <w:p w:rsidR="002E6C1E" w:rsidRDefault="001877EC">
      <w:pPr>
        <w:spacing w:after="240" w:line="240" w:lineRule="auto"/>
        <w:jc w:val="both"/>
        <w:rPr>
          <w:color w:val="FF0000"/>
          <w:highlight w:val="white"/>
        </w:rPr>
      </w:pPr>
      <w:r>
        <w:rPr>
          <w:highlight w:val="white"/>
        </w:rPr>
        <w:t xml:space="preserve">Em resposta a RDI nº 29/2021/SEAGO/COAUD, SEI nº 0010651-71.2021.6.05.8000,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1632799, a Comissão Gestora do </w:t>
      </w:r>
      <w:r>
        <w:rPr>
          <w:highlight w:val="white"/>
        </w:rPr>
        <w:t>SEI informou que as rotinas e os procedimentos para a classificação de informações quanto ao sigilo de processos e documentos no SEI foram apresentadas pelo Grupo de Trabalho, instituído pela Portaria da Presidência nº 451, publicada no  DJE em 12/11/2019,</w:t>
      </w:r>
      <w:r>
        <w:rPr>
          <w:highlight w:val="white"/>
        </w:rPr>
        <w:t xml:space="preserve"> em cartilha constante no SEI nº 0136681-88.2020.6.05.8000, nos docs. nºs1233289 (formato editável) e 1233294 (formato PDF). Ressaltou,</w:t>
      </w:r>
      <w:proofErr w:type="gramStart"/>
      <w:r>
        <w:rPr>
          <w:highlight w:val="white"/>
        </w:rPr>
        <w:t xml:space="preserve">  </w:t>
      </w:r>
      <w:proofErr w:type="gramEnd"/>
      <w:r>
        <w:rPr>
          <w:highlight w:val="white"/>
        </w:rPr>
        <w:t>entretanto, as seguintes observações: após aprovação e publicação da Resolução Administrativa que dispõe sobre a aplica</w:t>
      </w:r>
      <w:r>
        <w:rPr>
          <w:highlight w:val="white"/>
        </w:rPr>
        <w:t>ção da Lei de Acesso a Informação no âmbito do TRE-BA, a Comissão solicitará à STI a disponibilização no SEI de formulário padrão do Termo de Classificação da Informação – TCI, constante em anexo da minuta da Resolução Administrativa (documento n.º 1375158</w:t>
      </w:r>
      <w:r>
        <w:rPr>
          <w:highlight w:val="white"/>
        </w:rPr>
        <w:t>); futuras atualizações na Cartilha de Procedimentos para Classificação de Informações em Sistema Eletrônico SEI deverão ser efetuadas quando for concluída a pesquisa do processo SEI n.º 0136681-88.2020.6.05.8000, que atualmente encontra-se em tramitação n</w:t>
      </w:r>
      <w:r>
        <w:rPr>
          <w:highlight w:val="white"/>
        </w:rPr>
        <w:t xml:space="preserve">a COPES e SECOF. </w:t>
      </w:r>
      <w:r>
        <w:rPr>
          <w:color w:val="FF0000"/>
          <w:highlight w:val="white"/>
        </w:rPr>
        <w:t xml:space="preserve"> 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Em resposta a RDI nº 28/2021/SEAGO/COAUD, SEI nº 0010648-19.2021.6.05.8000,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 1641505, o Secretário da Corregedoria informou que em decorrência da posse da  nova gestão do TRE-BA em 27 de março de 2021, quando foi também empossado</w:t>
      </w:r>
      <w:r>
        <w:rPr>
          <w:highlight w:val="white"/>
        </w:rPr>
        <w:t xml:space="preserve"> o novo Desembargador como Vice-Presidente e  Juiz Corregedor do Tribunal Eleitoral Regional da Bahia, não teve contato com o Comitê Gestor do Processo Judicial Eletrônico (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>) para desenvolver um estudo completo sobre o PJE e uma resposta para atendiment</w:t>
      </w:r>
      <w:r>
        <w:rPr>
          <w:highlight w:val="white"/>
        </w:rPr>
        <w:t>o a esta Coordenadoria de Auditoria Interna.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spacing w:after="240" w:line="240" w:lineRule="auto"/>
        <w:jc w:val="both"/>
        <w:rPr>
          <w:color w:val="FF0000"/>
        </w:rPr>
      </w:pPr>
      <w:r>
        <w:rPr>
          <w:highlight w:val="white"/>
        </w:rPr>
        <w:lastRenderedPageBreak/>
        <w:t xml:space="preserve">Em que pese </w:t>
      </w:r>
      <w:proofErr w:type="gramStart"/>
      <w:r>
        <w:rPr>
          <w:highlight w:val="white"/>
        </w:rPr>
        <w:t>as</w:t>
      </w:r>
      <w:proofErr w:type="gramEnd"/>
      <w:r>
        <w:rPr>
          <w:highlight w:val="white"/>
        </w:rPr>
        <w:t xml:space="preserve"> informações prestadas pela Comissão Gestora do SEI e da Corregedoria, verificou-se que a ausência de parametrização dos sistemas inviabiliza a elaboração/atualização de manual referente ao assunto.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Evidências</w:t>
      </w:r>
    </w:p>
    <w:p w:rsidR="002E6C1E" w:rsidRDefault="001877EC">
      <w:pPr>
        <w:spacing w:after="240" w:line="240" w:lineRule="auto"/>
        <w:jc w:val="both"/>
        <w:rPr>
          <w:strike/>
        </w:rPr>
      </w:pPr>
      <w:r>
        <w:rPr>
          <w:highlight w:val="white"/>
        </w:rPr>
        <w:t>SEI nº 0010651-71.2021.6.05.800</w:t>
      </w:r>
      <w:r>
        <w:rPr>
          <w:highlight w:val="white"/>
        </w:rPr>
        <w:t xml:space="preserve">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1632799; SEI nº 0136681-88.2020.6.05. </w:t>
      </w:r>
      <w:proofErr w:type="gramStart"/>
      <w:r>
        <w:rPr>
          <w:highlight w:val="white"/>
        </w:rPr>
        <w:t>8000, docs.</w:t>
      </w:r>
      <w:proofErr w:type="gram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nºs</w:t>
      </w:r>
      <w:proofErr w:type="spellEnd"/>
      <w:r>
        <w:rPr>
          <w:highlight w:val="white"/>
        </w:rPr>
        <w:t xml:space="preserve"> 1233289, 1233294 e 1375158; SEI nº 0010648-19.2021.6.05.8000,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1641505.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jc w:val="both"/>
        <w:rPr>
          <w:i/>
        </w:rPr>
      </w:pPr>
      <w:r>
        <w:rPr>
          <w:highlight w:val="yellow"/>
        </w:rPr>
        <w:t xml:space="preserve">Em </w:t>
      </w:r>
      <w:proofErr w:type="gramStart"/>
      <w:r>
        <w:rPr>
          <w:highlight w:val="yellow"/>
        </w:rPr>
        <w:t>implementação</w:t>
      </w:r>
      <w:proofErr w:type="gramEnd"/>
      <w:r>
        <w:rPr>
          <w:highlight w:val="yellow"/>
        </w:rPr>
        <w:t>.</w:t>
      </w:r>
    </w:p>
    <w:p w:rsidR="002E6C1E" w:rsidRDefault="001877EC">
      <w:pPr>
        <w:spacing w:before="120"/>
        <w:jc w:val="both"/>
        <w:rPr>
          <w:b/>
          <w:i/>
          <w:highlight w:val="white"/>
        </w:rPr>
      </w:pPr>
      <w:r>
        <w:rPr>
          <w:b/>
          <w:i/>
          <w:highlight w:val="white"/>
        </w:rPr>
        <w:t xml:space="preserve">Proposição 5.1.9 </w:t>
      </w:r>
      <w:proofErr w:type="gramStart"/>
      <w:r>
        <w:rPr>
          <w:b/>
          <w:i/>
          <w:highlight w:val="white"/>
        </w:rPr>
        <w:t>-Recomendar</w:t>
      </w:r>
      <w:proofErr w:type="gramEnd"/>
      <w:r>
        <w:rPr>
          <w:b/>
          <w:i/>
          <w:highlight w:val="white"/>
        </w:rPr>
        <w:t xml:space="preserve"> à Presidência que, observado o prazo de 30 dias, proced</w:t>
      </w:r>
      <w:r>
        <w:rPr>
          <w:b/>
          <w:i/>
          <w:highlight w:val="white"/>
        </w:rPr>
        <w:t xml:space="preserve">a à atualização da composição do Comitê Gestor Regional do </w:t>
      </w:r>
      <w:proofErr w:type="spellStart"/>
      <w:r>
        <w:rPr>
          <w:b/>
          <w:i/>
          <w:highlight w:val="white"/>
        </w:rPr>
        <w:t>PJe</w:t>
      </w:r>
      <w:proofErr w:type="spellEnd"/>
      <w:r>
        <w:rPr>
          <w:b/>
          <w:i/>
          <w:highlight w:val="white"/>
        </w:rPr>
        <w:t>, instituído por meio da Portaria da Presidência nº 365/2016 e alterações posteriores (ref. subitem 3.1.5)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Achado de Auditoria</w:t>
      </w:r>
    </w:p>
    <w:p w:rsidR="002E6C1E" w:rsidRDefault="001877EC">
      <w:pPr>
        <w:spacing w:after="240" w:line="240" w:lineRule="auto"/>
        <w:jc w:val="both"/>
      </w:pPr>
      <w:r>
        <w:t>A5) Insuficiência de controles dos sistemas informatizados de supor</w:t>
      </w:r>
      <w:r>
        <w:t>te à tramitação de documentos e pro</w:t>
      </w:r>
      <w:r>
        <w:rPr>
          <w:highlight w:val="white"/>
        </w:rPr>
        <w:t>cessos.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Providências adotadas e comentários dos gestores</w:t>
      </w:r>
    </w:p>
    <w:p w:rsidR="002E6C1E" w:rsidRDefault="001877EC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Verificou-se que houve alteração da Portaria da Presidência nº 625/2016, a qual instituiu o Comitê Gestor Regional do PJE, no âmbito do Tribunal, por meio da Portar</w:t>
      </w:r>
      <w:r>
        <w:rPr>
          <w:highlight w:val="white"/>
        </w:rPr>
        <w:t xml:space="preserve">ia da Presidência nº 276, de 1º de agosto de 2019, a qual estabelece que a presidência do precitado comitê </w:t>
      </w:r>
      <w:proofErr w:type="gramStart"/>
      <w:r>
        <w:rPr>
          <w:highlight w:val="white"/>
        </w:rPr>
        <w:t>ficará</w:t>
      </w:r>
      <w:proofErr w:type="gramEnd"/>
      <w:r>
        <w:rPr>
          <w:highlight w:val="white"/>
        </w:rPr>
        <w:t xml:space="preserve"> sob a responsabilidade do Juiz Corregedor do Tribunal. (SEI nº 0049847-19.2019.6.05.8000, doc. nº 0032064).                                   </w:t>
      </w:r>
      <w:r>
        <w:rPr>
          <w:highlight w:val="white"/>
        </w:rPr>
        <w:t xml:space="preserve">                                                                     </w:t>
      </w:r>
    </w:p>
    <w:p w:rsidR="002E6C1E" w:rsidRDefault="001877EC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A Presidência alterou a composição do Comitê Gestor Regional do PJE, conforme Portaria nº 276, de 30/7/2019.</w:t>
      </w:r>
    </w:p>
    <w:p w:rsidR="002E6C1E" w:rsidRDefault="001877EC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Tendo em vista alteração do Comitê Gestor Regi</w:t>
      </w:r>
      <w:r>
        <w:rPr>
          <w:highlight w:val="white"/>
        </w:rPr>
        <w:t>onal do PJE, conforme Portaria da Presidência nº 276, de 30/7/2019, a equipe de auditoria concluiu pelo saneamento da fragilidade evidenciada.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Evidências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SEI nº 0049847-19.2019.6.05.8000, </w:t>
      </w:r>
      <w:proofErr w:type="spellStart"/>
      <w:r>
        <w:rPr>
          <w:highlight w:val="white"/>
        </w:rPr>
        <w:t>Doc</w:t>
      </w:r>
      <w:proofErr w:type="spellEnd"/>
      <w:r>
        <w:rPr>
          <w:highlight w:val="white"/>
        </w:rPr>
        <w:t xml:space="preserve"> nº 0032064; Portaria da Presidência nº 625/2016; Portaria da Pre</w:t>
      </w:r>
      <w:r>
        <w:rPr>
          <w:highlight w:val="white"/>
        </w:rPr>
        <w:t xml:space="preserve">sidência nº 276, de 1º de agosto de 2019.                                                                                                       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rPr>
          <w:b/>
          <w:i/>
          <w:sz w:val="23"/>
          <w:szCs w:val="23"/>
          <w:highlight w:val="green"/>
        </w:rPr>
      </w:pPr>
      <w:proofErr w:type="gramStart"/>
      <w:r>
        <w:rPr>
          <w:highlight w:val="green"/>
        </w:rPr>
        <w:lastRenderedPageBreak/>
        <w:t>Implementada</w:t>
      </w:r>
      <w:proofErr w:type="gramEnd"/>
    </w:p>
    <w:p w:rsidR="002E6C1E" w:rsidRDefault="001877EC">
      <w:pPr>
        <w:spacing w:before="120"/>
        <w:jc w:val="both"/>
        <w:rPr>
          <w:b/>
          <w:i/>
          <w:highlight w:val="white"/>
        </w:rPr>
      </w:pPr>
      <w:r>
        <w:rPr>
          <w:b/>
          <w:i/>
          <w:highlight w:val="white"/>
        </w:rPr>
        <w:t xml:space="preserve">Proposição 5.1.10 - </w:t>
      </w:r>
      <w:r>
        <w:rPr>
          <w:b/>
          <w:i/>
          <w:highlight w:val="white"/>
        </w:rPr>
        <w:t xml:space="preserve">Recomendar à SGA que, no prazo de 120 dias, realize estudos e apresente proposta para aperfeiçoamento de controles eletrônicos de acesso às áreas de armazenamento de documentos e processos do Arquivo Central do Tribunal (ref. subitem </w:t>
      </w:r>
      <w:proofErr w:type="gramStart"/>
      <w:r>
        <w:rPr>
          <w:b/>
          <w:i/>
          <w:highlight w:val="white"/>
        </w:rPr>
        <w:t>3.1.6)</w:t>
      </w:r>
      <w:proofErr w:type="gramEnd"/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Achado de Audit</w:t>
      </w:r>
      <w:r>
        <w:rPr>
          <w:i/>
        </w:rPr>
        <w:t>oria</w:t>
      </w:r>
    </w:p>
    <w:p w:rsidR="002E6C1E" w:rsidRDefault="001877EC">
      <w:pPr>
        <w:spacing w:after="240" w:line="240" w:lineRule="auto"/>
        <w:jc w:val="both"/>
      </w:pPr>
      <w:r>
        <w:t>In</w:t>
      </w:r>
      <w:r>
        <w:rPr>
          <w:highlight w:val="white"/>
        </w:rPr>
        <w:t>suficiência dos controles de acesso às áreas de armazenamento físico de documentos e processos.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Providências adotadas e comentários dos gestores</w:t>
      </w:r>
    </w:p>
    <w:p w:rsidR="002E6C1E" w:rsidRDefault="001877EC">
      <w:pPr>
        <w:spacing w:after="240" w:line="240" w:lineRule="auto"/>
        <w:jc w:val="both"/>
        <w:rPr>
          <w:sz w:val="17"/>
          <w:szCs w:val="17"/>
          <w:highlight w:val="white"/>
        </w:rPr>
      </w:pPr>
      <w:r>
        <w:rPr>
          <w:highlight w:val="white"/>
        </w:rPr>
        <w:t xml:space="preserve">Em resposta a RDI nº 33/2021/SEAGO/COAUD, no SEI nº 0010654-26.2021.6.05.8000,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1633837, a COGED informou que o acompanhamento e conclusão da recomendação encontram-se no processo SEI n.º 0135501-76.2016.6.05.8000.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spacing w:before="120"/>
        <w:jc w:val="both"/>
        <w:rPr>
          <w:highlight w:val="white"/>
        </w:rPr>
      </w:pPr>
      <w:r>
        <w:rPr>
          <w:highlight w:val="white"/>
        </w:rPr>
        <w:t>Na</w:t>
      </w:r>
      <w:r>
        <w:rPr>
          <w:highlight w:val="white"/>
        </w:rPr>
        <w:t xml:space="preserve"> informação da ASEGU, no SEI n.º 0135501-76.2016.6.05.8000,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1191654, verificou-se que ainda encontra-se pendente de confirmação o remanejamento da câmera  em direção ao acesso da torre 3, para que fique visualizando as entradas da Seção de Arquivo </w:t>
      </w:r>
      <w:r>
        <w:rPr>
          <w:highlight w:val="white"/>
        </w:rPr>
        <w:t>e do Arquivo Central. Desta forma, a equipe de auditoria concluiu pela subsistência da fragilidade evidenciada</w:t>
      </w:r>
      <w:r>
        <w:rPr>
          <w:sz w:val="17"/>
          <w:szCs w:val="17"/>
          <w:highlight w:val="white"/>
        </w:rPr>
        <w:t>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Evidências</w:t>
      </w:r>
    </w:p>
    <w:p w:rsidR="002E6C1E" w:rsidRDefault="001877EC">
      <w:pPr>
        <w:spacing w:after="240" w:line="240" w:lineRule="auto"/>
        <w:jc w:val="both"/>
        <w:rPr>
          <w:strike/>
        </w:rPr>
      </w:pPr>
      <w:r>
        <w:rPr>
          <w:highlight w:val="white"/>
        </w:rPr>
        <w:t xml:space="preserve">SEI nº 0010654-26.2021.6.05.8000, </w:t>
      </w:r>
      <w:proofErr w:type="spellStart"/>
      <w:proofErr w:type="gramStart"/>
      <w:r>
        <w:rPr>
          <w:highlight w:val="white"/>
        </w:rPr>
        <w:t>doc.</w:t>
      </w:r>
      <w:proofErr w:type="gramEnd"/>
      <w:r>
        <w:rPr>
          <w:highlight w:val="white"/>
        </w:rPr>
        <w:t>nº</w:t>
      </w:r>
      <w:proofErr w:type="spellEnd"/>
      <w:r>
        <w:rPr>
          <w:highlight w:val="white"/>
        </w:rPr>
        <w:t xml:space="preserve"> 1633837; SEI n.º 0135501-76.2016.6.05.8000,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1191654.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rPr>
          <w:b/>
          <w:i/>
          <w:sz w:val="23"/>
          <w:szCs w:val="23"/>
          <w:highlight w:val="yellow"/>
        </w:rPr>
      </w:pPr>
      <w:r>
        <w:rPr>
          <w:highlight w:val="yellow"/>
        </w:rPr>
        <w:t xml:space="preserve">Em </w:t>
      </w:r>
      <w:proofErr w:type="gramStart"/>
      <w:r>
        <w:rPr>
          <w:highlight w:val="yellow"/>
        </w:rPr>
        <w:t>implementação</w:t>
      </w:r>
      <w:proofErr w:type="gramEnd"/>
      <w:r>
        <w:rPr>
          <w:highlight w:val="yellow"/>
        </w:rPr>
        <w:t>.</w:t>
      </w:r>
    </w:p>
    <w:p w:rsidR="002E6C1E" w:rsidRDefault="001877EC">
      <w:pPr>
        <w:spacing w:before="120"/>
        <w:jc w:val="both"/>
        <w:rPr>
          <w:b/>
          <w:i/>
          <w:highlight w:val="white"/>
        </w:rPr>
      </w:pPr>
      <w:r>
        <w:rPr>
          <w:b/>
          <w:i/>
          <w:highlight w:val="white"/>
        </w:rPr>
        <w:t>Pr</w:t>
      </w:r>
      <w:r>
        <w:rPr>
          <w:b/>
          <w:i/>
          <w:highlight w:val="white"/>
        </w:rPr>
        <w:t>oposição 5.1.11 - Recomendar à Presidência que, no prazo de 30 dias, designe grupo de trabalho composto, ao menos, por representantes da SGA, STI, SGP, Comissão Permanente de Avaliação Documental, Comissão de Segurança da Informação e Comitês Gestores do P</w:t>
      </w:r>
      <w:r>
        <w:rPr>
          <w:b/>
          <w:i/>
          <w:highlight w:val="white"/>
        </w:rPr>
        <w:t xml:space="preserve">AD e </w:t>
      </w:r>
      <w:proofErr w:type="spellStart"/>
      <w:proofErr w:type="gramStart"/>
      <w:r>
        <w:rPr>
          <w:b/>
          <w:i/>
          <w:highlight w:val="white"/>
        </w:rPr>
        <w:t>PJe</w:t>
      </w:r>
      <w:proofErr w:type="spellEnd"/>
      <w:proofErr w:type="gramEnd"/>
      <w:r>
        <w:rPr>
          <w:b/>
          <w:i/>
          <w:highlight w:val="white"/>
        </w:rPr>
        <w:t xml:space="preserve">, com vistas a realizar estudos e apresentar propostas para: harmonização dos normativos internos afetos à gestão documental; aperfeiçoamento dos manuais de procedimentos do PAD e </w:t>
      </w:r>
      <w:proofErr w:type="spellStart"/>
      <w:r>
        <w:rPr>
          <w:b/>
          <w:i/>
          <w:highlight w:val="white"/>
        </w:rPr>
        <w:t>PJe</w:t>
      </w:r>
      <w:proofErr w:type="spellEnd"/>
      <w:r>
        <w:rPr>
          <w:b/>
          <w:i/>
          <w:highlight w:val="white"/>
        </w:rPr>
        <w:t xml:space="preserve"> e demais orientações esparsas, inclusive enquanto não atualizada</w:t>
      </w:r>
      <w:r>
        <w:rPr>
          <w:b/>
          <w:i/>
          <w:highlight w:val="white"/>
        </w:rPr>
        <w:t xml:space="preserve"> a parametrização dos referidos sistemas; e instituição de   rotinas afetas à classificação de documentos (físicos e digitais), conforme estabelecido na LAI (ref. subitens 3.1.7, 3.1.8, 3.1.9 e 3.1.10)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Achado de Auditoria</w:t>
      </w:r>
    </w:p>
    <w:p w:rsidR="002E6C1E" w:rsidRDefault="001877EC">
      <w:pPr>
        <w:spacing w:after="240" w:line="240" w:lineRule="auto"/>
        <w:jc w:val="both"/>
      </w:pPr>
      <w:r>
        <w:rPr>
          <w:highlight w:val="white"/>
        </w:rPr>
        <w:t>Ausência de classificação dos proc</w:t>
      </w:r>
      <w:r>
        <w:rPr>
          <w:highlight w:val="white"/>
        </w:rPr>
        <w:t>essos e documentos físicos e digitais em ultrassecreto, secreto e reservado, consoante estabelecido na Lei nº 12.527/2011; Criação e tramitação de processos e documentos digitais em desconformidade com os critérios de classificação estabelecidos na Portari</w:t>
      </w:r>
      <w:r>
        <w:rPr>
          <w:highlight w:val="white"/>
        </w:rPr>
        <w:t xml:space="preserve">a da Presidência nº 103/2015; Classificação de informação com grau de sigilo, não </w:t>
      </w:r>
      <w:r>
        <w:rPr>
          <w:highlight w:val="white"/>
        </w:rPr>
        <w:lastRenderedPageBreak/>
        <w:t>formalizada em decisão de autoridade competente; Insuficiência na restrição de acesso aos documentos pessoais de servidores, em formato físico e digital.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i/>
        </w:rPr>
        <w:t>Providências adotada</w:t>
      </w:r>
      <w:r>
        <w:rPr>
          <w:i/>
        </w:rPr>
        <w:t>s e comentários dos gestores</w:t>
      </w:r>
      <w:r>
        <w:rPr>
          <w:highlight w:val="white"/>
        </w:rPr>
        <w:t xml:space="preserve">                                                               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Por meio do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0030652, constante no SEI nº 0049779-69.2019.6.05.8000, a Presidência determinou a constituição de grupo de trabalho descrito na recomendação 5.</w:t>
      </w:r>
      <w:r>
        <w:rPr>
          <w:highlight w:val="white"/>
        </w:rPr>
        <w:t xml:space="preserve">1.11, com prazo de 90 dias para realizar estudos e demais </w:t>
      </w:r>
      <w:proofErr w:type="spellStart"/>
      <w:r>
        <w:rPr>
          <w:highlight w:val="white"/>
        </w:rPr>
        <w:t>demais</w:t>
      </w:r>
      <w:proofErr w:type="spellEnd"/>
      <w:r>
        <w:rPr>
          <w:highlight w:val="white"/>
        </w:rPr>
        <w:t xml:space="preserve"> ações descritas na referida recomendação. 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O Grupo de Trabalho foi instituído por meio da Portaria</w:t>
      </w:r>
      <w:proofErr w:type="gramStart"/>
      <w:r>
        <w:rPr>
          <w:highlight w:val="white"/>
        </w:rPr>
        <w:t xml:space="preserve">  </w:t>
      </w:r>
      <w:proofErr w:type="gramEnd"/>
      <w:r>
        <w:rPr>
          <w:highlight w:val="white"/>
        </w:rPr>
        <w:t xml:space="preserve">da Presidência nº 451, de 7/11/2019 (doc. nº 0030656).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spacing w:after="240" w:line="240" w:lineRule="auto"/>
        <w:jc w:val="both"/>
      </w:pPr>
      <w:r>
        <w:rPr>
          <w:highlight w:val="white"/>
        </w:rPr>
        <w:t>Tend</w:t>
      </w:r>
      <w:r>
        <w:rPr>
          <w:highlight w:val="white"/>
        </w:rPr>
        <w:t>o em vista a instituição do grupo de estudos por meio da Portaria da Presidência nº 451, de 7/11/2019,</w:t>
      </w:r>
      <w:proofErr w:type="gramStart"/>
      <w:r>
        <w:rPr>
          <w:highlight w:val="white"/>
        </w:rPr>
        <w:t xml:space="preserve">  </w:t>
      </w:r>
      <w:proofErr w:type="gramEnd"/>
      <w:r>
        <w:rPr>
          <w:highlight w:val="white"/>
        </w:rPr>
        <w:t xml:space="preserve">a equipe de auditoria concluiu pelo saneamento da fragilidade evidenciada 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Evidências</w:t>
      </w:r>
    </w:p>
    <w:p w:rsidR="002E6C1E" w:rsidRDefault="001877EC">
      <w:pPr>
        <w:spacing w:after="240" w:line="240" w:lineRule="auto"/>
        <w:jc w:val="both"/>
        <w:rPr>
          <w:strike/>
          <w:highlight w:val="white"/>
        </w:rPr>
      </w:pPr>
      <w:r>
        <w:rPr>
          <w:highlight w:val="white"/>
        </w:rPr>
        <w:t xml:space="preserve">SEI nº 0049779-69.2019.6.05.8000,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0030652; Portaria da Pre</w:t>
      </w:r>
      <w:r>
        <w:rPr>
          <w:highlight w:val="white"/>
        </w:rPr>
        <w:t>sidência nº 451, de 7/11/2019;</w:t>
      </w:r>
      <w:r>
        <w:rPr>
          <w:color w:val="FF0000"/>
          <w:highlight w:val="white"/>
        </w:rPr>
        <w:t xml:space="preserve"> </w:t>
      </w:r>
      <w:r>
        <w:rPr>
          <w:highlight w:val="white"/>
        </w:rPr>
        <w:t xml:space="preserve">SEI nº 0049907-89.2019.6.05.8000,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0033150.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rPr>
          <w:b/>
          <w:i/>
          <w:highlight w:val="green"/>
        </w:rPr>
      </w:pPr>
      <w:proofErr w:type="gramStart"/>
      <w:r>
        <w:rPr>
          <w:highlight w:val="green"/>
        </w:rPr>
        <w:t>Implementada</w:t>
      </w:r>
      <w:proofErr w:type="gramEnd"/>
    </w:p>
    <w:p w:rsidR="002E6C1E" w:rsidRDefault="001877EC">
      <w:pPr>
        <w:spacing w:before="120"/>
        <w:jc w:val="both"/>
        <w:rPr>
          <w:b/>
          <w:i/>
          <w:highlight w:val="white"/>
        </w:rPr>
      </w:pPr>
      <w:r>
        <w:rPr>
          <w:b/>
          <w:i/>
          <w:highlight w:val="white"/>
        </w:rPr>
        <w:t>Proposição 5.1.12 - Recomendar ao grupo de trabalho a ser designado em atendimento à proposição anterior que, observado o prazo assinalado no respectiv</w:t>
      </w:r>
      <w:r>
        <w:rPr>
          <w:b/>
          <w:i/>
          <w:highlight w:val="white"/>
        </w:rPr>
        <w:t xml:space="preserve">o ato de instituição, realize estudos e apresente propostas para: harmonização dos normativos internos afetos à gestão documental; aperfeiçoamento dos manuais de procedimentos do PAD e </w:t>
      </w:r>
      <w:proofErr w:type="spellStart"/>
      <w:proofErr w:type="gramStart"/>
      <w:r>
        <w:rPr>
          <w:b/>
          <w:i/>
          <w:highlight w:val="white"/>
        </w:rPr>
        <w:t>PJe</w:t>
      </w:r>
      <w:proofErr w:type="spellEnd"/>
      <w:proofErr w:type="gramEnd"/>
      <w:r>
        <w:rPr>
          <w:b/>
          <w:i/>
          <w:highlight w:val="white"/>
        </w:rPr>
        <w:t xml:space="preserve">  e demais orientações esparsas, inclusive enquanto não atualizada a</w:t>
      </w:r>
      <w:r>
        <w:rPr>
          <w:b/>
          <w:i/>
          <w:highlight w:val="white"/>
        </w:rPr>
        <w:t xml:space="preserve"> parametrização dos referidos sistemas; e instituição de rotinas afetas à classificação de documentos (físicos e digitais), conforme estabelecido na LAI (ref. subitens 3.1.7, 3.1.8, 3.1.9 e 3.1.10)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Achado de Auditoria</w:t>
      </w:r>
    </w:p>
    <w:p w:rsidR="002E6C1E" w:rsidRDefault="001877EC">
      <w:pPr>
        <w:spacing w:after="240" w:line="240" w:lineRule="auto"/>
        <w:jc w:val="both"/>
      </w:pPr>
      <w:r>
        <w:rPr>
          <w:highlight w:val="white"/>
        </w:rPr>
        <w:t>Ausência de classificação dos processos e documentos físicos e digitais em ultrassecreto, secreto e reservado, consoante estabelecido na Lei nº 12.527/2011; Criação e tramitação de processos e documentos digitais em desconformidade com os critérios de clas</w:t>
      </w:r>
      <w:r>
        <w:rPr>
          <w:highlight w:val="white"/>
        </w:rPr>
        <w:t>sificação estabelecidos na Portaria da Presidência nº 103/2015; Classificação de informação com grau de sigilo, não formalizada em decisão de autoridade competente; Insuficiência na restrição de acesso aos documentos pessoais de servidores, em formato físi</w:t>
      </w:r>
      <w:r>
        <w:rPr>
          <w:highlight w:val="white"/>
        </w:rPr>
        <w:t>co e digital.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Providências adotadas e comentários dos gestores</w:t>
      </w:r>
    </w:p>
    <w:p w:rsidR="002E6C1E" w:rsidRDefault="001877EC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Em resposta a RDI nº 30/2021/SEAGO/COAUD, SEI nº </w:t>
      </w:r>
      <w:r>
        <w:rPr>
          <w:highlight w:val="white"/>
        </w:rPr>
        <w:t xml:space="preserve">0010657-78.2021.6.05.8000,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1629890, o Grupo de Trabalho informou que suas atividades, instituídas através da Portaria da </w:t>
      </w:r>
      <w:r>
        <w:rPr>
          <w:highlight w:val="white"/>
        </w:rPr>
        <w:lastRenderedPageBreak/>
        <w:t>Presidência nº 451, foram concluídas em 15/09/2020 e os produtos gerados, nos termos do referido normativo, encontram-se no pro</w:t>
      </w:r>
      <w:r>
        <w:rPr>
          <w:highlight w:val="white"/>
        </w:rPr>
        <w:t>cesso SEI n.º 0136681-88.2020.6.05.8000.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Em consulta a este processo,</w:t>
      </w:r>
      <w:proofErr w:type="gramStart"/>
      <w:r>
        <w:rPr>
          <w:highlight w:val="white"/>
        </w:rPr>
        <w:t xml:space="preserve">  </w:t>
      </w:r>
      <w:proofErr w:type="gramEnd"/>
      <w:r>
        <w:rPr>
          <w:highlight w:val="white"/>
        </w:rPr>
        <w:t xml:space="preserve">nos </w:t>
      </w:r>
      <w:proofErr w:type="spellStart"/>
      <w:r>
        <w:rPr>
          <w:highlight w:val="white"/>
        </w:rPr>
        <w:t>docs</w:t>
      </w:r>
      <w:proofErr w:type="spell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nºs</w:t>
      </w:r>
      <w:proofErr w:type="spellEnd"/>
      <w:r>
        <w:rPr>
          <w:highlight w:val="white"/>
        </w:rPr>
        <w:t xml:space="preserve"> 1217449 e 1232451, a Comissão 965 informou acerca da elaboração da minuta de nova Resolução Administrativa que dispõe sobre a aplicação da Lei de Acesso à Informação (n.º 1</w:t>
      </w:r>
      <w:r>
        <w:rPr>
          <w:highlight w:val="white"/>
        </w:rPr>
        <w:t>2.527, de 18 de novembro de 2011), no âmbito do Tribunal Regional Eleitoral da Bahia, que substituirá as Resoluções Administrativas nº 20/2018 e 24/2019, bem como a Portaria da Presidência nº 103/2015.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Informou ainda, 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1217449 que considerando a </w:t>
      </w:r>
      <w:r>
        <w:rPr>
          <w:highlight w:val="white"/>
        </w:rPr>
        <w:t xml:space="preserve">implantação do SEI, entende, </w:t>
      </w:r>
      <w:proofErr w:type="spellStart"/>
      <w:r>
        <w:rPr>
          <w:highlight w:val="white"/>
        </w:rPr>
        <w:t>s.m.j</w:t>
      </w:r>
      <w:proofErr w:type="spellEnd"/>
      <w:r>
        <w:rPr>
          <w:highlight w:val="white"/>
        </w:rPr>
        <w:t>, que existe a necessidade de definição de novos procedimentos para o uso do referido sistema, vez que foi alimentado com tabelas de “Tipo de Processo” e “Tipo de Assuntos”, elaboradas com base na Tabela de Temporalidade d</w:t>
      </w:r>
      <w:r>
        <w:rPr>
          <w:highlight w:val="white"/>
        </w:rPr>
        <w:t>e Documentos deste TRE. E que essas tabelas que permitem a classificação dos processos e documentos estão interligadas ao nível de acesso à informação, propondo, diante disso, que sejam realizados estudos com o objetivo de aprimorar a classificação dos pro</w:t>
      </w:r>
      <w:r>
        <w:rPr>
          <w:highlight w:val="white"/>
        </w:rPr>
        <w:t>cessos administrativos, vez que o sistema permite a gestão da informação, necessitando de definição de rotinas de procedimentos para que os usuários saibam realizar corretamente a classificação de processos e de documentos, a fim de assegurar a gestão da i</w:t>
      </w:r>
      <w:r>
        <w:rPr>
          <w:highlight w:val="white"/>
        </w:rPr>
        <w:t>nformação, de forma transparente, eficiente, eficaz e efetiva.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1217449 a Comissão apontou ainda a elaboração de complementos do procedimento para aperfeiçoar a classificação quanto ao grau de sigilo no sistema PAD (documento n.º 1230874) e de ca</w:t>
      </w:r>
      <w:r>
        <w:rPr>
          <w:highlight w:val="white"/>
        </w:rPr>
        <w:t>rtilha contendo procedimentos de classificação quanto ao grau de sigilo no sistema SEI (documento n.º 1233294).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Manifestação da SESPJE 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1261555 ressalta que, os níveis de sigilo, até a presente data, só estão disponíveis para o sistema 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 xml:space="preserve"> do 1º </w:t>
      </w:r>
      <w:r>
        <w:rPr>
          <w:highlight w:val="white"/>
        </w:rPr>
        <w:t xml:space="preserve">grau (versão 2.1 do 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 xml:space="preserve">) e que o processo sigiloso não aparece na consulta pública do sistema. Por sua vez, a COAPRO, no </w:t>
      </w:r>
      <w:proofErr w:type="spellStart"/>
      <w:proofErr w:type="gramStart"/>
      <w:r>
        <w:rPr>
          <w:highlight w:val="white"/>
        </w:rPr>
        <w:t>doc.</w:t>
      </w:r>
      <w:proofErr w:type="gramEnd"/>
      <w:r>
        <w:rPr>
          <w:highlight w:val="white"/>
        </w:rPr>
        <w:t>nº</w:t>
      </w:r>
      <w:proofErr w:type="spellEnd"/>
      <w:r>
        <w:rPr>
          <w:highlight w:val="white"/>
        </w:rPr>
        <w:t xml:space="preserve"> 1407149 reforça que o TSE pretende migrar o 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 xml:space="preserve"> de 2º Grau para a versão 2.1 na qual estão disponíveis níveis de sigilo, conform</w:t>
      </w:r>
      <w:r>
        <w:rPr>
          <w:highlight w:val="white"/>
        </w:rPr>
        <w:t>e manifestação da SESPJE (doc. nº 1261555).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proofErr w:type="gramStart"/>
      <w:r>
        <w:rPr>
          <w:highlight w:val="white"/>
        </w:rPr>
        <w:t>A Comissão SEI</w:t>
      </w:r>
      <w:proofErr w:type="gramEnd"/>
      <w:r>
        <w:rPr>
          <w:highlight w:val="white"/>
        </w:rPr>
        <w:t xml:space="preserve"> 1438, 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1264000, no item 3.2 mencionou que o sistema SEI não permite a classificação e a concessão de nível de acesso conforme determina a Lei de Acesso à Informação- LAI (12.527/2011), ve</w:t>
      </w:r>
      <w:r>
        <w:rPr>
          <w:highlight w:val="white"/>
        </w:rPr>
        <w:t xml:space="preserve">z que quando existe um processo `"público", se inserido documento "sigiloso" ou "restrito", o processo público assume a classificação do nível mais restritivo. 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Por fim, a Comissão 965, 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1296745, após análise das informações contidas nas manifest</w:t>
      </w:r>
      <w:r>
        <w:rPr>
          <w:highlight w:val="white"/>
        </w:rPr>
        <w:t xml:space="preserve">ações (documentos </w:t>
      </w:r>
      <w:proofErr w:type="spellStart"/>
      <w:r>
        <w:rPr>
          <w:highlight w:val="white"/>
        </w:rPr>
        <w:t>nºs</w:t>
      </w:r>
      <w:proofErr w:type="spellEnd"/>
      <w:r>
        <w:rPr>
          <w:highlight w:val="white"/>
        </w:rPr>
        <w:t xml:space="preserve"> 1261555 e 1287692), corroborou com as manifestações apresentadas pela SESPJE e Comissão SEI, acerca da necessidade de maior estudo sobre a classificação dos documentos nos sistemas 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 xml:space="preserve"> e SEI.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Tendo em vi</w:t>
      </w:r>
      <w:r>
        <w:rPr>
          <w:highlight w:val="white"/>
        </w:rPr>
        <w:t xml:space="preserve">sta as manifestações das unidades, observou-se com relação à "harmonização dos normativos internos afetos à gestão documental" que o mesmo encontra-se sanado em razão da elaboração da minuta de nova Resolução Administrativa que dispõe sobre a aplicação da </w:t>
      </w:r>
      <w:r>
        <w:rPr>
          <w:highlight w:val="white"/>
        </w:rPr>
        <w:t xml:space="preserve">Lei de Acesso à Informação (n.º 12.527, de 18 de novembro de 2011), no âmbito do Tribunal Regional Eleitoral da Bahia, que substituirá as Resoluções Administrativas nº 20/2018 e 24/2019, bem como a Portaria da Presidência n.º 103/2015. 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lastRenderedPageBreak/>
        <w:t>Com relação ao "ape</w:t>
      </w:r>
      <w:r>
        <w:rPr>
          <w:highlight w:val="white"/>
        </w:rPr>
        <w:t xml:space="preserve">rfeiçoamento dos manuais de procedimentos do PAD e </w:t>
      </w:r>
      <w:proofErr w:type="spellStart"/>
      <w:proofErr w:type="gramStart"/>
      <w:r>
        <w:rPr>
          <w:highlight w:val="white"/>
        </w:rPr>
        <w:t>PJe</w:t>
      </w:r>
      <w:proofErr w:type="spellEnd"/>
      <w:proofErr w:type="gramEnd"/>
      <w:r>
        <w:rPr>
          <w:highlight w:val="white"/>
        </w:rPr>
        <w:t xml:space="preserve"> e demais orientações esparsas" no que tange ao sistema SEI, no doc. 1217449,</w:t>
      </w:r>
      <w:proofErr w:type="gramStart"/>
      <w:r>
        <w:rPr>
          <w:highlight w:val="white"/>
        </w:rPr>
        <w:t xml:space="preserve">  </w:t>
      </w:r>
      <w:proofErr w:type="gramEnd"/>
      <w:r>
        <w:rPr>
          <w:highlight w:val="white"/>
        </w:rPr>
        <w:t>a Unidade relatou a necessidade de definição de novos procedimentos para o uso do referido sistema tendo em vista a necessi</w:t>
      </w:r>
      <w:r>
        <w:rPr>
          <w:highlight w:val="white"/>
        </w:rPr>
        <w:t>dade de realização de estudos com o objetivo de aprimorar a classificação dos processos administrativos, necessitando de definição de rotinas de procedimentos para que os usuários saibam realizar corretamente a classificação de processos e de documentos. C</w:t>
      </w:r>
      <w:r>
        <w:rPr>
          <w:highlight w:val="white"/>
        </w:rPr>
        <w:t>om relação ao sistema PJE foi informado que o sistema não possui manual.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Finalmente, no que diz respeito à "instituição de rotinas afetas à classificação de documentos (físicos e digitais), conforme estabelecido na LAI", verificou-se esclarecimento de que </w:t>
      </w:r>
      <w:r>
        <w:rPr>
          <w:highlight w:val="white"/>
        </w:rPr>
        <w:t>embora conste informação de elaboração da minuta de nova Resolução Administrativa que dispõe sobre a aplicação da Lei de Acesso à Informação (n.º 12.527, de 18 de novembro de 2011) e complemento do procedimento para aperfeiçoar a classificação quanto ao gr</w:t>
      </w:r>
      <w:r>
        <w:rPr>
          <w:highlight w:val="white"/>
        </w:rPr>
        <w:t>au de sigilo no sistema PAD e</w:t>
      </w:r>
      <w:proofErr w:type="gramStart"/>
      <w:r>
        <w:rPr>
          <w:highlight w:val="white"/>
        </w:rPr>
        <w:t xml:space="preserve">  </w:t>
      </w:r>
      <w:proofErr w:type="gramEnd"/>
      <w:r>
        <w:rPr>
          <w:highlight w:val="white"/>
        </w:rPr>
        <w:t>ainda, cartilha contendo procedimentos de classificação quanto ao grau de sigilo no sistema SEI, a  Comissão SEI 1438, registrou que o sistema SEI não permite a classificação e a concessão de nível de acesso conforme determin</w:t>
      </w:r>
      <w:r>
        <w:rPr>
          <w:highlight w:val="white"/>
        </w:rPr>
        <w:t xml:space="preserve">a a Lei de Acesso à Informação - LAI (12.527/2011). Em complemento observou-se que a SESPJE apontou que os níveis de sigilo, até a presente data, só estão disponíveis para o sistema </w:t>
      </w:r>
      <w:proofErr w:type="spellStart"/>
      <w:proofErr w:type="gramStart"/>
      <w:r>
        <w:rPr>
          <w:highlight w:val="white"/>
        </w:rPr>
        <w:t>PJe</w:t>
      </w:r>
      <w:proofErr w:type="spellEnd"/>
      <w:proofErr w:type="gramEnd"/>
      <w:r>
        <w:rPr>
          <w:highlight w:val="white"/>
        </w:rPr>
        <w:t xml:space="preserve"> do 1º grau (versão 2.1 do 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>) e que o processo sigiloso não aparece n</w:t>
      </w:r>
      <w:r>
        <w:rPr>
          <w:highlight w:val="white"/>
        </w:rPr>
        <w:t xml:space="preserve">a consulta pública do sistema e ainda, que a COAPRO  reforçou que o TSE pretende migrar o 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 xml:space="preserve"> de 2º Grau para a versão 2.1 na qual estão disponíveis níveis de sigilo, conforme manifestação da SESPJE. Por fim, verificou-se que a Comissão 965, corroborou com</w:t>
      </w:r>
      <w:r>
        <w:rPr>
          <w:highlight w:val="white"/>
        </w:rPr>
        <w:t xml:space="preserve"> as manifestações apresentadas pela SESPJE e Comissão SEI acerca da necessidade de maior estudo sobre a classificação dos documentos nos sistemas </w:t>
      </w:r>
      <w:proofErr w:type="spellStart"/>
      <w:proofErr w:type="gramStart"/>
      <w:r>
        <w:rPr>
          <w:highlight w:val="white"/>
        </w:rPr>
        <w:t>PJe</w:t>
      </w:r>
      <w:proofErr w:type="spellEnd"/>
      <w:proofErr w:type="gramEnd"/>
      <w:r>
        <w:rPr>
          <w:highlight w:val="white"/>
        </w:rPr>
        <w:t xml:space="preserve"> e SEI. Diante destas manifestações, a equipe de auditoria concluiu pela subsistência da fragilidade eviden</w:t>
      </w:r>
      <w:r>
        <w:rPr>
          <w:highlight w:val="white"/>
        </w:rPr>
        <w:t>ciada nos dois últimos aspectos.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Evidências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SEI nº 0010657-78.2021.6.05.8000,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1629890; SEI n.º 0136681-88.2020.6.05.8000, </w:t>
      </w:r>
      <w:proofErr w:type="spellStart"/>
      <w:r>
        <w:rPr>
          <w:highlight w:val="white"/>
        </w:rPr>
        <w:t>docs</w:t>
      </w:r>
      <w:proofErr w:type="spellEnd"/>
      <w:r>
        <w:rPr>
          <w:highlight w:val="white"/>
        </w:rPr>
        <w:t xml:space="preserve">, </w:t>
      </w:r>
      <w:proofErr w:type="spellStart"/>
      <w:r>
        <w:rPr>
          <w:highlight w:val="white"/>
        </w:rPr>
        <w:t>nºs</w:t>
      </w:r>
      <w:proofErr w:type="spellEnd"/>
      <w:r>
        <w:rPr>
          <w:highlight w:val="white"/>
        </w:rPr>
        <w:t xml:space="preserve"> 1217449, 1232451, 1230874; 1233294; 1261555; 1264000,1296745, 1287692 e 1407149.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rPr>
          <w:highlight w:val="yellow"/>
        </w:rPr>
      </w:pPr>
      <w:r>
        <w:rPr>
          <w:highlight w:val="yellow"/>
        </w:rPr>
        <w:t xml:space="preserve">Em </w:t>
      </w:r>
      <w:proofErr w:type="gramStart"/>
      <w:r>
        <w:rPr>
          <w:highlight w:val="yellow"/>
        </w:rPr>
        <w:t>implementação</w:t>
      </w:r>
      <w:proofErr w:type="gramEnd"/>
      <w:r>
        <w:rPr>
          <w:highlight w:val="yellow"/>
        </w:rPr>
        <w:t xml:space="preserve">. </w:t>
      </w:r>
    </w:p>
    <w:p w:rsidR="002E6C1E" w:rsidRDefault="001877EC">
      <w:pPr>
        <w:spacing w:before="120"/>
        <w:jc w:val="both"/>
        <w:rPr>
          <w:b/>
          <w:i/>
          <w:highlight w:val="white"/>
        </w:rPr>
      </w:pPr>
      <w:r>
        <w:rPr>
          <w:b/>
          <w:i/>
          <w:highlight w:val="white"/>
        </w:rPr>
        <w:t>5.1.13</w:t>
      </w:r>
      <w:r>
        <w:rPr>
          <w:b/>
          <w:i/>
          <w:highlight w:val="white"/>
        </w:rPr>
        <w:t xml:space="preserve"> </w:t>
      </w:r>
      <w:proofErr w:type="gramStart"/>
      <w:r>
        <w:rPr>
          <w:b/>
          <w:i/>
          <w:highlight w:val="white"/>
        </w:rPr>
        <w:t>-Recomendar</w:t>
      </w:r>
      <w:proofErr w:type="gramEnd"/>
      <w:r>
        <w:rPr>
          <w:b/>
          <w:i/>
          <w:highlight w:val="white"/>
        </w:rPr>
        <w:t xml:space="preserve"> à SGP que, em parceria com a SGA e a SGS, no prazo de 120 dias, realize estudos e apresente proposta para aperfeiçoamento da sistemática de armazenamento físico de documentos e processos pessoais de servidores, contemplando, inclusive, a previ</w:t>
      </w:r>
      <w:r>
        <w:rPr>
          <w:b/>
          <w:i/>
          <w:highlight w:val="white"/>
        </w:rPr>
        <w:t>são de implementação de controles eletrônicos de acesso aos espaços reservados para tal finalidade (ref. subitem 3.1.10)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Achado de Auditoria</w:t>
      </w:r>
    </w:p>
    <w:p w:rsidR="002E6C1E" w:rsidRDefault="001877EC">
      <w:pPr>
        <w:spacing w:after="240" w:line="240" w:lineRule="auto"/>
        <w:jc w:val="both"/>
      </w:pPr>
      <w:r>
        <w:t>I</w:t>
      </w:r>
      <w:r>
        <w:rPr>
          <w:highlight w:val="white"/>
        </w:rPr>
        <w:t>nsuficiência na restrição de acesso aos documentos pessoais de servidores, em formato físico e digital.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Providênci</w:t>
      </w:r>
      <w:r>
        <w:rPr>
          <w:i/>
        </w:rPr>
        <w:t>as adotadas e comentários dos gestores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lastRenderedPageBreak/>
        <w:t xml:space="preserve">Em resposta a RDI nº 34/2021/SEAGO/COAUD, no SEI nº 0010653-41.2021.6.05.8000,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1632163, a </w:t>
      </w:r>
      <w:r>
        <w:rPr>
          <w:b/>
          <w:highlight w:val="white"/>
        </w:rPr>
        <w:t xml:space="preserve">SEREDE </w:t>
      </w:r>
      <w:r>
        <w:rPr>
          <w:highlight w:val="white"/>
        </w:rPr>
        <w:t>informou que a seção não possui arquivo físico contendo documentos pessoais de servidores e que estão arquivados</w:t>
      </w:r>
      <w:r>
        <w:rPr>
          <w:highlight w:val="white"/>
        </w:rPr>
        <w:t xml:space="preserve"> fisicamente na seção documentos relativos aos estagiários que atuam ou atuaram no TRE-Ba, tais como frequências mensais, Termos de Compromisso de Estágio e respectivos Termos Aditivos, formulários de avaliação de estagiário (preenchidos pelo estagiário e </w:t>
      </w:r>
      <w:r>
        <w:rPr>
          <w:highlight w:val="white"/>
        </w:rPr>
        <w:t>supervisor), documentos de seleção do Projeto Menor Cidadão (listas de conferência e de presença), declarações firmadas pelos estagiários (art. 13, §1º, Res. Adm. TRE-BA 2/2013 e Código de Ética), fichas cadastrais, dentre outros. Sugeriu que os documentos</w:t>
      </w:r>
      <w:r>
        <w:rPr>
          <w:highlight w:val="white"/>
        </w:rPr>
        <w:t xml:space="preserve"> supramencionados sejam digitalizados e incluídos, por assunto, em processos </w:t>
      </w:r>
      <w:proofErr w:type="spellStart"/>
      <w:proofErr w:type="gramStart"/>
      <w:r>
        <w:rPr>
          <w:highlight w:val="white"/>
        </w:rPr>
        <w:t>SEIs</w:t>
      </w:r>
      <w:proofErr w:type="spellEnd"/>
      <w:proofErr w:type="gramEnd"/>
      <w:r>
        <w:rPr>
          <w:highlight w:val="white"/>
        </w:rPr>
        <w:t>, com posterior descarte do acervo físico, respeitando-se os prazos contidos na tabela de temporalidade. No mesmo SEI, a SEDAS,</w:t>
      </w:r>
      <w:proofErr w:type="gramStart"/>
      <w:r>
        <w:rPr>
          <w:highlight w:val="white"/>
        </w:rPr>
        <w:t xml:space="preserve">  </w:t>
      </w:r>
      <w:proofErr w:type="gramEnd"/>
      <w:r>
        <w:rPr>
          <w:highlight w:val="white"/>
        </w:rPr>
        <w:t xml:space="preserve">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1633650, informou que em 18/05/2020</w:t>
      </w:r>
      <w:r>
        <w:rPr>
          <w:highlight w:val="white"/>
        </w:rPr>
        <w:t xml:space="preserve"> através da OTRS nº 00174872, foi solicitado à unidade competente a colocação de fechadura eletrônica na sala arquivo do Serviço de Saúde, oportunidade em que foi comunicado que seria necessário aguardar a compra por procedimento licitatório (doc. nº 16336</w:t>
      </w:r>
      <w:r>
        <w:rPr>
          <w:highlight w:val="white"/>
        </w:rPr>
        <w:t xml:space="preserve">46). 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No mesmo </w:t>
      </w:r>
      <w:proofErr w:type="gramStart"/>
      <w:r>
        <w:rPr>
          <w:highlight w:val="white"/>
        </w:rPr>
        <w:t>SEI,</w:t>
      </w:r>
      <w:proofErr w:type="gramEnd"/>
      <w:r>
        <w:rPr>
          <w:highlight w:val="white"/>
        </w:rPr>
        <w:t xml:space="preserve">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1635797, a </w:t>
      </w:r>
      <w:r>
        <w:rPr>
          <w:b/>
          <w:highlight w:val="white"/>
        </w:rPr>
        <w:t xml:space="preserve">EFAS </w:t>
      </w:r>
      <w:r>
        <w:rPr>
          <w:highlight w:val="white"/>
        </w:rPr>
        <w:t>informou que possui alguns documentos pessoais, não sigilosos, tais como frequência de capacitações, certificados entregues fisicamente pelas empresas contratadas, avaliação de reação, avaliação de cursos, dentre outros e que em relação a dados mais sensív</w:t>
      </w:r>
      <w:r>
        <w:rPr>
          <w:highlight w:val="white"/>
        </w:rPr>
        <w:t xml:space="preserve">eis, após a reestruturação algumas atribuições da SEREDE passaram a ser desempenhadas pela EFAS. Desta forma, alguns processos físicos de servidores relacionados </w:t>
      </w:r>
      <w:proofErr w:type="gramStart"/>
      <w:r>
        <w:rPr>
          <w:highlight w:val="white"/>
        </w:rPr>
        <w:t>a</w:t>
      </w:r>
      <w:proofErr w:type="gramEnd"/>
      <w:r>
        <w:rPr>
          <w:highlight w:val="white"/>
        </w:rPr>
        <w:t xml:space="preserve"> movimentação funcional, tais como portarias e também formulários de estágio probatório estão</w:t>
      </w:r>
      <w:r>
        <w:rPr>
          <w:highlight w:val="white"/>
        </w:rPr>
        <w:t xml:space="preserve"> fisicamente na EFAS. A unidade entende que os documentos mencionados podem ser microfilmados, passando a digitalizados para futuras consultas que se fizerem necessárias. 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Já a </w:t>
      </w:r>
      <w:r>
        <w:rPr>
          <w:b/>
          <w:highlight w:val="white"/>
        </w:rPr>
        <w:t xml:space="preserve">ASBEN </w:t>
      </w:r>
      <w:r>
        <w:rPr>
          <w:highlight w:val="white"/>
        </w:rPr>
        <w:t xml:space="preserve">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1636293, informou que possui em arquivo físico, documentos pes</w:t>
      </w:r>
      <w:r>
        <w:rPr>
          <w:highlight w:val="white"/>
        </w:rPr>
        <w:t xml:space="preserve">soais de servidores, tais como: contratos de empréstimos firmados entre servidores e instituições financeiras, formulários de recadastramento de aposentados e pensionistas, com cópias de documentos pessoais, requerimentos de Auxílio Funeral, com cópias de </w:t>
      </w:r>
      <w:r>
        <w:rPr>
          <w:highlight w:val="white"/>
        </w:rPr>
        <w:t xml:space="preserve">documentos pessoais de </w:t>
      </w:r>
      <w:proofErr w:type="spellStart"/>
      <w:r>
        <w:rPr>
          <w:highlight w:val="white"/>
        </w:rPr>
        <w:t>ex-servidores</w:t>
      </w:r>
      <w:proofErr w:type="spellEnd"/>
      <w:r>
        <w:rPr>
          <w:highlight w:val="white"/>
        </w:rPr>
        <w:t xml:space="preserve"> e dos requerentes, além de originais de notas fiscais de despesas realizadas, processos referentes à inclusão ou exclusão de servidores e dependentes em benefícios assistenciais, anteriores à implantação do PAD, documen</w:t>
      </w:r>
      <w:r>
        <w:rPr>
          <w:highlight w:val="white"/>
        </w:rPr>
        <w:t>tos comprobatórios de despesas médicas, anteriores à implantação do Sistema Eletrônico de Comprovação, documentos referentes à solicitação de auxílio-transporte, com originais de passagens de transporte rodoviário, cópias de documentos referentes à apólice</w:t>
      </w:r>
      <w:r>
        <w:rPr>
          <w:highlight w:val="white"/>
        </w:rPr>
        <w:t xml:space="preserve"> da Sul América Saúde que tem o TRE-BA como estipulante, além de liminares judiciais em favor de beneficiários do mencionado plano de saúde. Sugeriu que os documentos relacionados sejam digitalizados e armazenados em pastas específicas para este fim, com p</w:t>
      </w:r>
      <w:r>
        <w:rPr>
          <w:highlight w:val="white"/>
        </w:rPr>
        <w:t xml:space="preserve">osterior descarte do acervo físico, observando-se o prazo de temporalidade a ser definido para cada caso. 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Por sua vez a </w:t>
      </w:r>
      <w:r>
        <w:rPr>
          <w:b/>
          <w:highlight w:val="white"/>
        </w:rPr>
        <w:t>COEDE</w:t>
      </w:r>
      <w:r>
        <w:rPr>
          <w:highlight w:val="white"/>
        </w:rPr>
        <w:t xml:space="preserve">, 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1636413, informou não possuir arquivo físico contendo documentos pessoais de servidores e que o coordenador foi nomea</w:t>
      </w:r>
      <w:r>
        <w:rPr>
          <w:highlight w:val="white"/>
        </w:rPr>
        <w:t>do no mês de maio/2021, não dominando de forma prática o assunto em lide, e que este não identificou arquivos que contenham informações acerca de medidas adotadas visando ao cumprimento de recomendações anteriores. Porém, baseado nas informações apresentad</w:t>
      </w:r>
      <w:r>
        <w:rPr>
          <w:highlight w:val="white"/>
        </w:rPr>
        <w:t>as pelas unidades supramencionadas, buscará mais subsídios</w:t>
      </w:r>
      <w:proofErr w:type="gramStart"/>
      <w:r>
        <w:rPr>
          <w:highlight w:val="white"/>
        </w:rPr>
        <w:t xml:space="preserve">  </w:t>
      </w:r>
      <w:proofErr w:type="gramEnd"/>
      <w:r>
        <w:rPr>
          <w:highlight w:val="white"/>
        </w:rPr>
        <w:t xml:space="preserve">acerca do assunto. 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Por fim, </w:t>
      </w:r>
      <w:proofErr w:type="gramStart"/>
      <w:r>
        <w:rPr>
          <w:highlight w:val="white"/>
        </w:rPr>
        <w:t xml:space="preserve">a </w:t>
      </w:r>
      <w:r>
        <w:rPr>
          <w:b/>
          <w:highlight w:val="white"/>
        </w:rPr>
        <w:t>COPES</w:t>
      </w:r>
      <w:proofErr w:type="gramEnd"/>
      <w:r>
        <w:rPr>
          <w:highlight w:val="white"/>
        </w:rPr>
        <w:t xml:space="preserve">, no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1637114, informou que atualmente, a Unidade está em adaptação física para atendimento da estrutura organizacional disposta na Resolução Administrat</w:t>
      </w:r>
      <w:r>
        <w:rPr>
          <w:highlight w:val="white"/>
        </w:rPr>
        <w:t xml:space="preserve">iva TRE-BA nº 04/2021 e que solicitou espaço exclusivamente para o armazenamento físico de documentos e </w:t>
      </w:r>
      <w:r>
        <w:rPr>
          <w:highlight w:val="white"/>
        </w:rPr>
        <w:lastRenderedPageBreak/>
        <w:t>processos pessoais de servidores, inclusive com entrada independente (documento nº 1637184) e instalação de fechadura eletrônica para controle de acesso</w:t>
      </w:r>
      <w:r>
        <w:rPr>
          <w:highlight w:val="white"/>
        </w:rPr>
        <w:t xml:space="preserve"> a área em comento (documento nº 1637201).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Em resposta a RDI nº 33/2021/SEAGO/COAUD, no SEI 0010654-26.2021.6.05.8000,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1633837, a </w:t>
      </w:r>
      <w:r>
        <w:rPr>
          <w:b/>
          <w:highlight w:val="white"/>
        </w:rPr>
        <w:t xml:space="preserve">COGED </w:t>
      </w:r>
      <w:r>
        <w:rPr>
          <w:highlight w:val="white"/>
        </w:rPr>
        <w:t>informou que foi realizado um diagnóstico que resultou na identificação de espaços de armazenamento de documento</w:t>
      </w:r>
      <w:r>
        <w:rPr>
          <w:highlight w:val="white"/>
        </w:rPr>
        <w:t>s e processos de servidores e que foi identificada a necessidade de instalação de divisórias e fechadura eletrônica para a limitar o acesso às áreas de armazenamento de documentos e processos situadas na COPES e SEDAS; tratamento do acervo identificado, in</w:t>
      </w:r>
      <w:r>
        <w:rPr>
          <w:highlight w:val="white"/>
        </w:rPr>
        <w:t>clusive daquele armazenado em espaço cedido no Arquivo Central, de modo a otimizar sua consulta e reduzir espaço físico utilizado, bem como custos associados à manutenção, por meio de descarte, migração de suporte ou remessa para o arquivo intermediário ou</w:t>
      </w:r>
      <w:r>
        <w:rPr>
          <w:highlight w:val="white"/>
        </w:rPr>
        <w:t xml:space="preserve"> final, em alinhamento com as diretrizes fixadas na Tabela de Temporalidade vigente e demais normativos aplicáveis; orientação da equipe de trabalho por servidor da SEARQ, no que tange a atividades e procedimentos </w:t>
      </w:r>
      <w:proofErr w:type="spellStart"/>
      <w:r>
        <w:rPr>
          <w:highlight w:val="white"/>
        </w:rPr>
        <w:t>arquivísticos</w:t>
      </w:r>
      <w:proofErr w:type="spellEnd"/>
      <w:r>
        <w:rPr>
          <w:highlight w:val="white"/>
        </w:rPr>
        <w:t>, bem como de auxílio de cola</w:t>
      </w:r>
      <w:r>
        <w:rPr>
          <w:highlight w:val="white"/>
        </w:rPr>
        <w:t>boradores terceirizados (3 auxiliares de arquivo e 1 auxiliar de informática) para tratamento do acervo identificado, em face do volume, complexidade e multiplicidade de tipos documentais armazenados. Situação Atual: - A COEDE solicitou a compra e a instal</w:t>
      </w:r>
      <w:r>
        <w:rPr>
          <w:highlight w:val="white"/>
        </w:rPr>
        <w:t>ação de fechaduras eletrônicas, mas ainda não foram adquiridas pelo Tribunal. Foi alterado o layout do espaço físico da COPES, de forma a disponibilizar espaço reservado para armazenamento dos documentos e processos relativos aos servidores do TRE-BA e est</w:t>
      </w:r>
      <w:r>
        <w:rPr>
          <w:highlight w:val="white"/>
        </w:rPr>
        <w:t xml:space="preserve">ão sendo adquiridos equipamentos para controle eletrônico de acesso. - As providências necessárias para restringir acesso aos documentos pessoais de servidores, em formato físico e digital, foram estabelecidas e estão em andamento. Conclusão não efetivada </w:t>
      </w:r>
      <w:r>
        <w:rPr>
          <w:highlight w:val="white"/>
        </w:rPr>
        <w:t xml:space="preserve">em razão das restrições decorrentes das medidas de prevenção e combate ao novo </w:t>
      </w:r>
      <w:proofErr w:type="spellStart"/>
      <w:r>
        <w:rPr>
          <w:highlight w:val="white"/>
        </w:rPr>
        <w:t>Coronavírus</w:t>
      </w:r>
      <w:proofErr w:type="spellEnd"/>
      <w:r>
        <w:rPr>
          <w:highlight w:val="white"/>
        </w:rPr>
        <w:t>.</w:t>
      </w:r>
    </w:p>
    <w:p w:rsidR="002E6C1E" w:rsidRDefault="001877EC">
      <w:pPr>
        <w:spacing w:after="240" w:line="240" w:lineRule="auto"/>
        <w:jc w:val="both"/>
        <w:rPr>
          <w:i/>
          <w:highlight w:val="white"/>
        </w:rPr>
      </w:pPr>
      <w:r>
        <w:rPr>
          <w:i/>
          <w:highlight w:val="white"/>
        </w:rPr>
        <w:t>Análise da equipe de auditoria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>Tendo em vista informações das Unidades que as medidas de adequação do armazenamento físico de documentos e processos pessoais de ser</w:t>
      </w:r>
      <w:r>
        <w:rPr>
          <w:highlight w:val="white"/>
        </w:rPr>
        <w:t xml:space="preserve">vidores e de controles eletrônicos de acesso aos espaços reservados para tal finalidade encontram-se em </w:t>
      </w:r>
      <w:proofErr w:type="gramStart"/>
      <w:r>
        <w:rPr>
          <w:highlight w:val="white"/>
        </w:rPr>
        <w:t>implementação</w:t>
      </w:r>
      <w:proofErr w:type="gramEnd"/>
      <w:r>
        <w:rPr>
          <w:highlight w:val="white"/>
        </w:rPr>
        <w:t>, a equipe de auditoria concluiu pela subsistência da fragilidade evidenciada.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Evidências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SEI nº 0010653-41.2021.6.05.8000 (docs. nº 1632163, 1633650, 1633646, 1635797, 1636293, 1636413, 1637114, 1637184 e 1637201); SEI nº 0010654-26.2021.6.05.8000,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1633837.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  <w:jc w:val="both"/>
      </w:pPr>
      <w:r>
        <w:rPr>
          <w:highlight w:val="yellow"/>
        </w:rPr>
        <w:t xml:space="preserve">Em </w:t>
      </w:r>
      <w:proofErr w:type="gramStart"/>
      <w:r>
        <w:rPr>
          <w:highlight w:val="yellow"/>
        </w:rPr>
        <w:t>implementação</w:t>
      </w:r>
      <w:proofErr w:type="gramEnd"/>
      <w:r>
        <w:t xml:space="preserve"> </w:t>
      </w:r>
    </w:p>
    <w:p w:rsidR="002E6C1E" w:rsidRDefault="001877EC">
      <w:pPr>
        <w:spacing w:before="120"/>
        <w:jc w:val="both"/>
        <w:rPr>
          <w:b/>
          <w:i/>
          <w:highlight w:val="white"/>
        </w:rPr>
      </w:pPr>
      <w:r>
        <w:rPr>
          <w:b/>
          <w:i/>
          <w:highlight w:val="white"/>
        </w:rPr>
        <w:t>Proposição 5.1.14 - Recomendar à SGP que, em parcer</w:t>
      </w:r>
      <w:r>
        <w:rPr>
          <w:b/>
          <w:i/>
          <w:highlight w:val="white"/>
        </w:rPr>
        <w:t>ia com a SGA, observado o prazo de 120 dias, apresente plano de ação contemplando medidas voltadas ao aperfeiçoamento do processo de arquivamento de documentos pessoais de servidores, visando evitar duplicidade de armazenamento – ex.: definição acerca de f</w:t>
      </w:r>
      <w:r>
        <w:rPr>
          <w:b/>
          <w:i/>
          <w:highlight w:val="white"/>
        </w:rPr>
        <w:t>erramenta informatizada mais adequada ao armazenamento de documentos digitais e migração de documentos digitais de sistemas de uso descontinuado para a referida ferramenta; documentos que deverão ser mantidos em suporte papel e digital, bem como daqueles q</w:t>
      </w:r>
      <w:r>
        <w:rPr>
          <w:b/>
          <w:i/>
          <w:highlight w:val="white"/>
        </w:rPr>
        <w:t xml:space="preserve">ue deverão permanecer exclusivamente em suporte digital; </w:t>
      </w:r>
      <w:r>
        <w:rPr>
          <w:b/>
          <w:i/>
          <w:highlight w:val="white"/>
        </w:rPr>
        <w:lastRenderedPageBreak/>
        <w:t xml:space="preserve">iniciativas destinadas a viabilizar a </w:t>
      </w:r>
      <w:proofErr w:type="gramStart"/>
      <w:r>
        <w:rPr>
          <w:b/>
          <w:i/>
          <w:highlight w:val="white"/>
        </w:rPr>
        <w:t>implementação</w:t>
      </w:r>
      <w:proofErr w:type="gramEnd"/>
      <w:r>
        <w:rPr>
          <w:b/>
          <w:i/>
          <w:highlight w:val="white"/>
        </w:rPr>
        <w:t xml:space="preserve"> das deliberações anteriores etc. –, devendo, ainda, proceder ao monitoramento periódico do seu cumprimento, informando à Presidência, Diretoria-Ger</w:t>
      </w:r>
      <w:r>
        <w:rPr>
          <w:b/>
          <w:i/>
          <w:highlight w:val="white"/>
        </w:rPr>
        <w:t>al e SAU quanto às ações implementadas (ref. subitem 3.1.11).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Achado de Auditoria</w:t>
      </w:r>
    </w:p>
    <w:p w:rsidR="002E6C1E" w:rsidRDefault="001877EC">
      <w:pPr>
        <w:spacing w:after="240" w:line="240" w:lineRule="auto"/>
        <w:jc w:val="both"/>
      </w:pPr>
      <w:r>
        <w:t>Du</w:t>
      </w:r>
      <w:r>
        <w:rPr>
          <w:highlight w:val="white"/>
        </w:rPr>
        <w:t>plicidade de arquivamento físico e digital de documentos pessoais de servidores.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Providências adotadas e comentários dos gestores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Em resposta a RDI nº 34/2021/SEAGO/COAUD, </w:t>
      </w:r>
      <w:r>
        <w:rPr>
          <w:highlight w:val="white"/>
        </w:rPr>
        <w:t xml:space="preserve">no SEI nº 0010653-41.2021.6.05.8000,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1632163, a </w:t>
      </w:r>
      <w:r>
        <w:rPr>
          <w:b/>
          <w:highlight w:val="white"/>
        </w:rPr>
        <w:t xml:space="preserve">SEREDE </w:t>
      </w:r>
      <w:r>
        <w:rPr>
          <w:highlight w:val="white"/>
        </w:rPr>
        <w:t>informou que a seção não possui elementos capazes de contribuir na elaboração de plano de ação contemplando medidas voltadas ao aperfeiçoamento do processo de arquivamento de documentos pessoai</w:t>
      </w:r>
      <w:r>
        <w:rPr>
          <w:highlight w:val="white"/>
        </w:rPr>
        <w:t>s de servidores, visando evitar duplicidade de armazenamento físico e digital de documentos pessoais de servidores. Sugeriu a participação da COGED, STI e Comissão de Segurança da Informação para colaborar na elaboração do plano. Ressaltou, por fim, que as</w:t>
      </w:r>
      <w:r>
        <w:rPr>
          <w:highlight w:val="white"/>
        </w:rPr>
        <w:t xml:space="preserve"> atividades a serem implementadas deverão estar em consonância com a Lei nº 13.709, de 14 de agosto de 2018 (Lei Geral de Proteção de Dados Pessoais (LGPD), e demais normativos que têm o fito de garantir o sigilo das informações de natureza íntima </w:t>
      </w:r>
      <w:proofErr w:type="gramStart"/>
      <w:r>
        <w:rPr>
          <w:highlight w:val="white"/>
        </w:rPr>
        <w:t>dos cida</w:t>
      </w:r>
      <w:r>
        <w:rPr>
          <w:highlight w:val="white"/>
        </w:rPr>
        <w:t>dão</w:t>
      </w:r>
      <w:proofErr w:type="gramEnd"/>
      <w:r>
        <w:rPr>
          <w:highlight w:val="white"/>
        </w:rPr>
        <w:t xml:space="preserve">. No mesmo SEI, no </w:t>
      </w:r>
      <w:proofErr w:type="spellStart"/>
      <w:r>
        <w:rPr>
          <w:highlight w:val="white"/>
        </w:rPr>
        <w:t>doc.nº</w:t>
      </w:r>
      <w:proofErr w:type="spellEnd"/>
      <w:r>
        <w:rPr>
          <w:highlight w:val="white"/>
        </w:rPr>
        <w:t xml:space="preserve"> 1633650, a </w:t>
      </w:r>
      <w:r>
        <w:rPr>
          <w:b/>
          <w:highlight w:val="white"/>
        </w:rPr>
        <w:t xml:space="preserve">SEDAS </w:t>
      </w:r>
      <w:r>
        <w:rPr>
          <w:highlight w:val="white"/>
        </w:rPr>
        <w:t xml:space="preserve">corrobora com a manifestação da SEREDE. A </w:t>
      </w:r>
      <w:r>
        <w:rPr>
          <w:b/>
          <w:highlight w:val="white"/>
        </w:rPr>
        <w:t xml:space="preserve">COPES </w:t>
      </w:r>
      <w:r>
        <w:rPr>
          <w:highlight w:val="white"/>
        </w:rPr>
        <w:t>informou que não há uma unidade com a competência específica para atender a recomendação proposta, de modo que é uma atribuição atinente a toda a Secretaria de Ge</w:t>
      </w:r>
      <w:r>
        <w:rPr>
          <w:highlight w:val="white"/>
        </w:rPr>
        <w:t>stão de Pessoas. Observou que conforme histórico pesquisado, o Memorando nº 22/2019/SGP, datado de 21 de novembro de 2019, em que a SGP apresenta arrazoado e propõe providências, documento nº 0071234, integrante do SEI nº 0052051-36.2019.6.05.8000, resulto</w:t>
      </w:r>
      <w:r>
        <w:rPr>
          <w:highlight w:val="white"/>
        </w:rPr>
        <w:t>u no Plano de Ação apresentado no SEI nº 0049907-89.2019.6.05.8000, atualizado em outubro de 2020 (documento nº  1280386). No que tangencia especificamente apenas a esta Coordenadoria, já ocorreram tentativas recentes de realização de um levantamento inici</w:t>
      </w:r>
      <w:r>
        <w:rPr>
          <w:highlight w:val="white"/>
        </w:rPr>
        <w:t>al, mas que acabou não sendo concluído - SEI nº 0097439-25.2020.6.05.8000, Doc. nº 0767091. Registrou que tomou conhecimento do SEI nº 0011123-72.2021.6.05.8000 e que contatará a COGED para reavaliação do plano de ação objetivando buscar o saneamento da qu</w:t>
      </w:r>
      <w:r>
        <w:rPr>
          <w:highlight w:val="white"/>
        </w:rPr>
        <w:t xml:space="preserve">estão. Registrou que tão somente no que </w:t>
      </w:r>
      <w:proofErr w:type="spellStart"/>
      <w:r>
        <w:rPr>
          <w:highlight w:val="white"/>
        </w:rPr>
        <w:t>pertine</w:t>
      </w:r>
      <w:proofErr w:type="spellEnd"/>
      <w:r>
        <w:rPr>
          <w:highlight w:val="white"/>
        </w:rPr>
        <w:t xml:space="preserve"> aos assentamentos funcionais, no bojo do SEI nº 0010728-80.2021.6.05.8000, documento nº 1633692, sugeriu a inserção da atribuição específica no novo Regulamento Interno da Secretaria, a saber, "gerir assentam</w:t>
      </w:r>
      <w:r>
        <w:rPr>
          <w:highlight w:val="white"/>
        </w:rPr>
        <w:t>ento funcional de servidor do quadro permanente, redistribuído, removido, em exercício provisório ou sem vínculo com a administração".</w:t>
      </w:r>
    </w:p>
    <w:p w:rsidR="002E6C1E" w:rsidRDefault="001877EC">
      <w:pPr>
        <w:spacing w:after="240" w:line="240" w:lineRule="auto"/>
        <w:jc w:val="both"/>
        <w:rPr>
          <w:highlight w:val="white"/>
        </w:rPr>
      </w:pPr>
      <w:r>
        <w:rPr>
          <w:highlight w:val="white"/>
        </w:rPr>
        <w:t xml:space="preserve">Em resposta a RDI nº 33/2021/SEAGO/COAUD, SEI nº 0010654-26.2021.6.05.8000,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1633837, a </w:t>
      </w:r>
      <w:r>
        <w:rPr>
          <w:b/>
          <w:highlight w:val="white"/>
        </w:rPr>
        <w:t>COGED</w:t>
      </w:r>
      <w:r>
        <w:rPr>
          <w:highlight w:val="white"/>
        </w:rPr>
        <w:t xml:space="preserve"> informou que foram r</w:t>
      </w:r>
      <w:r>
        <w:rPr>
          <w:highlight w:val="white"/>
        </w:rPr>
        <w:t>ealizadas reuniões entre a Secretaria de Gestão de Pessoas (SGP) /Coordenadoria de Pessoal (COPES) e a COGED/SEARQ, em 22/10 e  5/11/2019, quando ficou estabelecido que deveria ficar definido: 1- Quais tipos documentais deverão ser mantidos em suporte pape</w:t>
      </w:r>
      <w:r>
        <w:rPr>
          <w:highlight w:val="white"/>
        </w:rPr>
        <w:t>l apenas, em suporte papel e meio digital, e, exclusivamente, em suporte digital; 2- Qual(</w:t>
      </w:r>
      <w:proofErr w:type="spellStart"/>
      <w:r>
        <w:rPr>
          <w:highlight w:val="white"/>
        </w:rPr>
        <w:t>is</w:t>
      </w:r>
      <w:proofErr w:type="spellEnd"/>
      <w:r>
        <w:rPr>
          <w:highlight w:val="white"/>
        </w:rPr>
        <w:t>) ferramenta(s) informatizada(s) deverá(</w:t>
      </w:r>
      <w:proofErr w:type="spellStart"/>
      <w:r>
        <w:rPr>
          <w:highlight w:val="white"/>
        </w:rPr>
        <w:t>ão</w:t>
      </w:r>
      <w:proofErr w:type="spellEnd"/>
      <w:r>
        <w:rPr>
          <w:highlight w:val="white"/>
        </w:rPr>
        <w:t>) ser utilizada(s), de forma padronizada, pelas Unidades da SGP, no que tange ao armazenamento de documentos em suporte di</w:t>
      </w:r>
      <w:r>
        <w:rPr>
          <w:highlight w:val="white"/>
        </w:rPr>
        <w:t xml:space="preserve">gital; 3- Qual( </w:t>
      </w:r>
      <w:proofErr w:type="spellStart"/>
      <w:r>
        <w:rPr>
          <w:highlight w:val="white"/>
        </w:rPr>
        <w:t>is</w:t>
      </w:r>
      <w:proofErr w:type="spellEnd"/>
      <w:r>
        <w:rPr>
          <w:highlight w:val="white"/>
        </w:rPr>
        <w:t>) ferramenta(s) informatizada(s) deverá(</w:t>
      </w:r>
      <w:proofErr w:type="spellStart"/>
      <w:r>
        <w:rPr>
          <w:highlight w:val="white"/>
        </w:rPr>
        <w:t>ão</w:t>
      </w:r>
      <w:proofErr w:type="spellEnd"/>
      <w:r>
        <w:rPr>
          <w:highlight w:val="white"/>
        </w:rPr>
        <w:t xml:space="preserve">) ser utilizada(s), de forma padronizada, pelas Unidades da SGP, no que tange ao armazenamento de documentos em suporte digital; 4- Rotina referente à sistemática de armazenamento de documentos e </w:t>
      </w:r>
      <w:r>
        <w:rPr>
          <w:highlight w:val="white"/>
        </w:rPr>
        <w:t xml:space="preserve">processos a ser observada pelos servidores da SGP no que tange a documentos novos recepcionados; e 5- Proceder ao tratamento dos arquivos armazenados na COPES, SEDAS e espaço cedido do Arquivo Central; </w:t>
      </w:r>
      <w:r>
        <w:rPr>
          <w:highlight w:val="white"/>
        </w:rPr>
        <w:lastRenderedPageBreak/>
        <w:t>as atividades previstas no plano de Ação contido no SE</w:t>
      </w:r>
      <w:r>
        <w:rPr>
          <w:highlight w:val="white"/>
        </w:rPr>
        <w:t xml:space="preserve">I nº 0049907-89.2019.6.05.8000,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1280386, foram iniciadas e estão em andamento e em razão das restrições decorrentes das medidas de prevenção e combate ao novo </w:t>
      </w:r>
      <w:proofErr w:type="spellStart"/>
      <w:r>
        <w:rPr>
          <w:highlight w:val="white"/>
        </w:rPr>
        <w:t>Coronavírus</w:t>
      </w:r>
      <w:proofErr w:type="spellEnd"/>
      <w:r>
        <w:rPr>
          <w:highlight w:val="white"/>
        </w:rPr>
        <w:t>, a conclusão foi prejudicada.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Análise da equipe de auditoria</w:t>
      </w:r>
    </w:p>
    <w:p w:rsidR="002E6C1E" w:rsidRDefault="001877EC">
      <w:pPr>
        <w:spacing w:after="240" w:line="240" w:lineRule="auto"/>
        <w:jc w:val="both"/>
      </w:pPr>
      <w:r>
        <w:rPr>
          <w:highlight w:val="white"/>
        </w:rPr>
        <w:t>Em que pese plan</w:t>
      </w:r>
      <w:r>
        <w:rPr>
          <w:highlight w:val="white"/>
        </w:rPr>
        <w:t xml:space="preserve">o de ação para cumprimento dos encaminhamentos resultantes desta auditoria,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1280386 e manifestação, Doc. </w:t>
      </w:r>
      <w:proofErr w:type="gramStart"/>
      <w:r>
        <w:rPr>
          <w:highlight w:val="white"/>
        </w:rPr>
        <w:t>nº</w:t>
      </w:r>
      <w:proofErr w:type="gramEnd"/>
      <w:r>
        <w:rPr>
          <w:highlight w:val="white"/>
        </w:rPr>
        <w:t xml:space="preserve"> 1280427, constantes no SEI nº 0049907-89.2019.6.05.8000, relatando as medidas adotadas para atendimento da recomendação, não se verificou en</w:t>
      </w:r>
      <w:r>
        <w:rPr>
          <w:highlight w:val="white"/>
        </w:rPr>
        <w:t xml:space="preserve">caminhamento de plano de ação, contemplando medidas voltadas ao aperfeiçoamento do processo de arquivamento de documentos pessoais de servidores, visando evitar duplicidade de armazenamento. Desta forma, a equipe de auditoria concluiu pela subsistência da </w:t>
      </w:r>
      <w:r>
        <w:rPr>
          <w:highlight w:val="white"/>
        </w:rPr>
        <w:t>fragilidade evidenciada.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Evidências</w:t>
      </w:r>
    </w:p>
    <w:p w:rsidR="002E6C1E" w:rsidRDefault="001877EC">
      <w:pPr>
        <w:spacing w:after="240" w:line="240" w:lineRule="auto"/>
        <w:jc w:val="both"/>
        <w:rPr>
          <w:strike/>
          <w:highlight w:val="white"/>
        </w:rPr>
      </w:pPr>
      <w:r>
        <w:rPr>
          <w:highlight w:val="white"/>
        </w:rPr>
        <w:t>SEI nº 0010653-41.2021.6.05.8000 (</w:t>
      </w:r>
      <w:proofErr w:type="spellStart"/>
      <w:r>
        <w:rPr>
          <w:highlight w:val="white"/>
        </w:rPr>
        <w:t>docs</w:t>
      </w:r>
      <w:proofErr w:type="spellEnd"/>
      <w:proofErr w:type="gramStart"/>
      <w:r>
        <w:rPr>
          <w:highlight w:val="white"/>
        </w:rPr>
        <w:t xml:space="preserve">  </w:t>
      </w:r>
      <w:proofErr w:type="gramEnd"/>
      <w:r>
        <w:rPr>
          <w:highlight w:val="white"/>
        </w:rPr>
        <w:t>nº 1632163 e 1633650); SEI nº 0052051-36.2019.6.05.8000 (</w:t>
      </w:r>
      <w:proofErr w:type="spellStart"/>
      <w:r>
        <w:rPr>
          <w:highlight w:val="white"/>
        </w:rPr>
        <w:t>Doc</w:t>
      </w:r>
      <w:proofErr w:type="spellEnd"/>
      <w:r>
        <w:rPr>
          <w:highlight w:val="white"/>
        </w:rPr>
        <w:t xml:space="preserve"> nº 0071234); SEI nº 0049907-89.2019.6.05.8000 (doc. nº  1280386 e 1280427; SEI nº 0097439-25.2020.6.05.8000, (doc. nº 0</w:t>
      </w:r>
      <w:r>
        <w:rPr>
          <w:highlight w:val="white"/>
        </w:rPr>
        <w:t>767091); SEI nº 0011123-72.2021.6.05.8000; SEI nº 0010728-80.2021.6.05.8000 (doc. nº 1633692) e SEI nº 0010654-26.2021.05.8000 (doc. nº 1633837).</w:t>
      </w:r>
    </w:p>
    <w:p w:rsidR="002E6C1E" w:rsidRDefault="001877EC">
      <w:pPr>
        <w:spacing w:after="240" w:line="240" w:lineRule="auto"/>
        <w:jc w:val="both"/>
        <w:rPr>
          <w:i/>
        </w:rPr>
      </w:pPr>
      <w:r>
        <w:rPr>
          <w:i/>
        </w:rPr>
        <w:t>Conclusão</w:t>
      </w:r>
    </w:p>
    <w:p w:rsidR="002E6C1E" w:rsidRDefault="001877EC">
      <w:pPr>
        <w:keepNext/>
        <w:spacing w:before="120" w:after="200"/>
      </w:pPr>
      <w:r>
        <w:rPr>
          <w:highlight w:val="yellow"/>
        </w:rPr>
        <w:t xml:space="preserve">Em </w:t>
      </w:r>
      <w:proofErr w:type="gramStart"/>
      <w:r>
        <w:rPr>
          <w:highlight w:val="yellow"/>
        </w:rPr>
        <w:t>implementação</w:t>
      </w:r>
      <w:proofErr w:type="gramEnd"/>
      <w:r>
        <w:rPr>
          <w:highlight w:val="yellow"/>
        </w:rPr>
        <w:t>.</w:t>
      </w:r>
    </w:p>
    <w:tbl>
      <w:tblPr>
        <w:tblStyle w:val="a3"/>
        <w:tblW w:w="9561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61"/>
      </w:tblGrid>
      <w:tr w:rsidR="002E6C1E">
        <w:tc>
          <w:tcPr>
            <w:tcW w:w="9561" w:type="dxa"/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pStyle w:val="Ttulo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vajkqbm7tkpc" w:colFirst="0" w:colLast="0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CONCLUSÃO</w:t>
            </w:r>
          </w:p>
        </w:tc>
      </w:tr>
    </w:tbl>
    <w:p w:rsidR="002E6C1E" w:rsidRDefault="001877EC">
      <w:pPr>
        <w:keepNext/>
        <w:spacing w:before="0" w:after="200" w:line="240" w:lineRule="auto"/>
        <w:jc w:val="both"/>
      </w:pPr>
      <w:r>
        <w:t>O monitoramento do cumprimento de proposições resultantes de ações fiscalizatórias realizadas tem por benefício imediato assegurar efetividade às recomendações homologadas pela Alta Administração e, em última instância, instrumentalizar o aperfeiçoamento d</w:t>
      </w:r>
      <w:r>
        <w:t xml:space="preserve">a gestão no que tange à melhoria dos processos de trabalho, à mitigação de riscos e ao alcance </w:t>
      </w:r>
      <w:proofErr w:type="gramStart"/>
      <w:r>
        <w:t>dos macro</w:t>
      </w:r>
      <w:proofErr w:type="gramEnd"/>
      <w:r>
        <w:t xml:space="preserve"> objetivos institucionais associados ao objeto examinado.</w:t>
      </w:r>
    </w:p>
    <w:p w:rsidR="002E6C1E" w:rsidRDefault="001877EC">
      <w:pPr>
        <w:keepNext/>
        <w:spacing w:before="0" w:after="120" w:line="240" w:lineRule="auto"/>
        <w:jc w:val="both"/>
      </w:pPr>
      <w:r>
        <w:t xml:space="preserve">O presente relatório de monitoramento constitui a consolidação do diagnóstico quanto ao atual </w:t>
      </w:r>
      <w:r>
        <w:t>estágio de cumprimento das recomendações homologadas pela Presidência desta Casa, no Relatório da Auditoria Coordenada do Conselho Nacional de Justiça (CNJ</w:t>
      </w:r>
      <w:proofErr w:type="gramStart"/>
      <w:r>
        <w:t>)</w:t>
      </w:r>
      <w:proofErr w:type="gramEnd"/>
      <w:r>
        <w:t>/Poder Judiciário – Gestão Documental - Exercício 2019, conforme se observa no Quadro 1, apresentado</w:t>
      </w:r>
      <w:r>
        <w:t xml:space="preserve"> na sequência:</w:t>
      </w:r>
    </w:p>
    <w:p w:rsidR="002E6C1E" w:rsidRDefault="001877EC">
      <w:pPr>
        <w:keepNext/>
        <w:spacing w:before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Quadro </w:t>
      </w:r>
      <w:proofErr w:type="gramStart"/>
      <w:r>
        <w:rPr>
          <w:sz w:val="20"/>
          <w:szCs w:val="20"/>
        </w:rPr>
        <w:t>1</w:t>
      </w:r>
      <w:proofErr w:type="gramEnd"/>
    </w:p>
    <w:tbl>
      <w:tblPr>
        <w:tblStyle w:val="a4"/>
        <w:tblW w:w="9581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95"/>
        <w:gridCol w:w="2395"/>
        <w:gridCol w:w="4791"/>
      </w:tblGrid>
      <w:tr w:rsidR="002E6C1E">
        <w:trPr>
          <w:trHeight w:val="440"/>
        </w:trPr>
        <w:tc>
          <w:tcPr>
            <w:tcW w:w="9580" w:type="dxa"/>
            <w:gridSpan w:val="3"/>
            <w:shd w:val="clear" w:color="auto" w:fill="0B539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GRAU DE CUMPRIMENTO DAS RECOMENDAÇÕES - MONITORAMENTO DA AUDITORIA COORDENADA DO CONSELHO NACIONAL DE JUSTIÇA (CNJ</w:t>
            </w:r>
            <w:proofErr w:type="gramStart"/>
            <w:r>
              <w:rPr>
                <w:color w:val="FFFFFF"/>
                <w:sz w:val="22"/>
                <w:szCs w:val="22"/>
              </w:rPr>
              <w:t>)</w:t>
            </w:r>
            <w:proofErr w:type="gramEnd"/>
            <w:r>
              <w:rPr>
                <w:color w:val="FFFFFF"/>
                <w:sz w:val="22"/>
                <w:szCs w:val="22"/>
              </w:rPr>
              <w:t>/PODER JUDICIÁRIO - GESTÃO DOCUMENTAL - EXERCÍCIO 2019</w:t>
            </w:r>
          </w:p>
        </w:tc>
      </w:tr>
      <w:tr w:rsidR="002E6C1E">
        <w:trPr>
          <w:trHeight w:val="420"/>
        </w:trPr>
        <w:tc>
          <w:tcPr>
            <w:tcW w:w="2395" w:type="dxa"/>
            <w:shd w:val="clear" w:color="auto" w:fill="0B539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SITUAÇÃO</w:t>
            </w:r>
          </w:p>
        </w:tc>
        <w:tc>
          <w:tcPr>
            <w:tcW w:w="2395" w:type="dxa"/>
            <w:shd w:val="clear" w:color="auto" w:fill="0B539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QUANTITATIVO</w:t>
            </w:r>
          </w:p>
        </w:tc>
        <w:tc>
          <w:tcPr>
            <w:tcW w:w="4790" w:type="dxa"/>
            <w:shd w:val="clear" w:color="auto" w:fill="0B539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spacing w:before="0" w:line="240" w:lineRule="auto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PROPOSIÇÕES</w:t>
            </w:r>
          </w:p>
        </w:tc>
      </w:tr>
      <w:tr w:rsidR="002E6C1E">
        <w:trPr>
          <w:trHeight w:val="420"/>
        </w:trPr>
        <w:tc>
          <w:tcPr>
            <w:tcW w:w="2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22"/>
                <w:szCs w:val="22"/>
                <w:highlight w:val="green"/>
              </w:rPr>
            </w:pPr>
            <w:proofErr w:type="gramStart"/>
            <w:r>
              <w:rPr>
                <w:sz w:val="22"/>
                <w:szCs w:val="22"/>
                <w:highlight w:val="green"/>
              </w:rPr>
              <w:t>IMPLEMENTADA</w:t>
            </w:r>
            <w:proofErr w:type="gramEnd"/>
          </w:p>
        </w:tc>
        <w:tc>
          <w:tcPr>
            <w:tcW w:w="2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</w:t>
            </w:r>
            <w:proofErr w:type="gramEnd"/>
          </w:p>
        </w:tc>
        <w:tc>
          <w:tcPr>
            <w:tcW w:w="4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spacing w:before="0" w:line="240" w:lineRule="auto"/>
              <w:jc w:val="both"/>
            </w:pPr>
            <w:proofErr w:type="gramStart"/>
            <w:r>
              <w:t>5.1.1;</w:t>
            </w:r>
            <w:proofErr w:type="gramEnd"/>
            <w:r>
              <w:t>5.1.2, 5.1.3, 5.1.9 e 5.1.11.</w:t>
            </w:r>
          </w:p>
        </w:tc>
      </w:tr>
      <w:tr w:rsidR="002E6C1E">
        <w:trPr>
          <w:trHeight w:val="420"/>
        </w:trPr>
        <w:tc>
          <w:tcPr>
            <w:tcW w:w="2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lastRenderedPageBreak/>
              <w:t xml:space="preserve">EM </w:t>
            </w:r>
            <w:proofErr w:type="gramStart"/>
            <w:r>
              <w:rPr>
                <w:sz w:val="22"/>
                <w:szCs w:val="22"/>
                <w:highlight w:val="yellow"/>
              </w:rPr>
              <w:t>IMPLEMENTAÇÃO</w:t>
            </w:r>
            <w:proofErr w:type="gramEnd"/>
          </w:p>
        </w:tc>
        <w:tc>
          <w:tcPr>
            <w:tcW w:w="2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9</w:t>
            </w:r>
            <w:proofErr w:type="gramEnd"/>
          </w:p>
        </w:tc>
        <w:tc>
          <w:tcPr>
            <w:tcW w:w="4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spacing w:before="200" w:after="120" w:line="240" w:lineRule="auto"/>
              <w:jc w:val="both"/>
            </w:pPr>
            <w:r>
              <w:t>5.1.4, 5.1.5, 5.1.6, 5.1.7, 5.1.8, 5.1.10, 5.1.12, 5.1.13 e 5.1.14.</w:t>
            </w:r>
          </w:p>
        </w:tc>
      </w:tr>
      <w:tr w:rsidR="002E6C1E">
        <w:trPr>
          <w:trHeight w:val="420"/>
        </w:trPr>
        <w:tc>
          <w:tcPr>
            <w:tcW w:w="2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  <w:highlight w:val="red"/>
              </w:rPr>
              <w:t xml:space="preserve">NÃO </w:t>
            </w:r>
            <w:proofErr w:type="gramStart"/>
            <w:r>
              <w:rPr>
                <w:sz w:val="22"/>
                <w:szCs w:val="22"/>
                <w:highlight w:val="red"/>
              </w:rPr>
              <w:t>IMPLEMENTADA</w:t>
            </w:r>
            <w:proofErr w:type="gramEnd"/>
          </w:p>
        </w:tc>
        <w:tc>
          <w:tcPr>
            <w:tcW w:w="2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0</w:t>
            </w:r>
            <w:proofErr w:type="gramEnd"/>
          </w:p>
        </w:tc>
        <w:tc>
          <w:tcPr>
            <w:tcW w:w="4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E6C1E">
        <w:trPr>
          <w:trHeight w:val="420"/>
        </w:trPr>
        <w:tc>
          <w:tcPr>
            <w:tcW w:w="2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  <w:highlight w:val="cyan"/>
              </w:rPr>
              <w:t>INSUBSISTENTE</w:t>
            </w:r>
          </w:p>
        </w:tc>
        <w:tc>
          <w:tcPr>
            <w:tcW w:w="2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0</w:t>
            </w:r>
            <w:proofErr w:type="gramEnd"/>
          </w:p>
        </w:tc>
        <w:tc>
          <w:tcPr>
            <w:tcW w:w="4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E6C1E">
        <w:trPr>
          <w:trHeight w:val="420"/>
        </w:trPr>
        <w:tc>
          <w:tcPr>
            <w:tcW w:w="2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2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2E6C1E">
            <w:pPr>
              <w:widowControl w:val="0"/>
              <w:spacing w:before="0" w:line="240" w:lineRule="auto"/>
              <w:jc w:val="center"/>
              <w:rPr>
                <w:sz w:val="22"/>
                <w:szCs w:val="22"/>
              </w:rPr>
            </w:pPr>
          </w:p>
          <w:p w:rsidR="002E6C1E" w:rsidRDefault="001877EC">
            <w:pPr>
              <w:widowControl w:val="0"/>
              <w:spacing w:before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E6C1E" w:rsidRDefault="001877EC">
      <w:pPr>
        <w:spacing w:before="0" w:after="12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Fonte: evidências coletadas no Monitoramento da Auditoria Coordenada do Conselho Nacional de Justiça (CNJ</w:t>
      </w:r>
      <w:proofErr w:type="gramStart"/>
      <w:r>
        <w:rPr>
          <w:i/>
          <w:sz w:val="20"/>
          <w:szCs w:val="20"/>
        </w:rPr>
        <w:t>)</w:t>
      </w:r>
      <w:proofErr w:type="gramEnd"/>
      <w:r>
        <w:rPr>
          <w:i/>
          <w:sz w:val="20"/>
          <w:szCs w:val="20"/>
        </w:rPr>
        <w:t>/Poder Judiciário – Gestão Documental - Exercício 2019 (PAA2021).</w:t>
      </w:r>
    </w:p>
    <w:p w:rsidR="002E6C1E" w:rsidRDefault="001877EC">
      <w:pPr>
        <w:spacing w:before="0" w:after="120" w:line="240" w:lineRule="auto"/>
        <w:jc w:val="both"/>
        <w:rPr>
          <w:highlight w:val="white"/>
        </w:rPr>
      </w:pPr>
      <w:r>
        <w:t xml:space="preserve">Considerados os 14 encaminhamentos resultantes da ação fiscalizatória </w:t>
      </w:r>
      <w:proofErr w:type="gramStart"/>
      <w:r>
        <w:t>sob monitoramento</w:t>
      </w:r>
      <w:proofErr w:type="gramEnd"/>
      <w:r>
        <w:t xml:space="preserve">, constatou-se o </w:t>
      </w:r>
      <w:r>
        <w:rPr>
          <w:highlight w:val="white"/>
        </w:rPr>
        <w:t>adimplemento integral de aproximadamente 36% das proposições homologadas, restando, ainda, pendentes de atendimento 64% do quanto recomendado. Esclarece</w:t>
      </w:r>
      <w:r>
        <w:rPr>
          <w:highlight w:val="white"/>
        </w:rPr>
        <w:t xml:space="preserve">mos, contudo, quanto aos </w:t>
      </w:r>
      <w:proofErr w:type="gramStart"/>
      <w:r>
        <w:rPr>
          <w:highlight w:val="white"/>
        </w:rPr>
        <w:t>9</w:t>
      </w:r>
      <w:proofErr w:type="gramEnd"/>
      <w:r>
        <w:rPr>
          <w:highlight w:val="white"/>
        </w:rPr>
        <w:t xml:space="preserve"> encaminhamentos ainda pendentes de completa integralização, o registro de adoção de medidas, pela gestão deste Regional, no sentido de saneamento das fragilidades associadas a todos eles.</w:t>
      </w:r>
    </w:p>
    <w:p w:rsidR="002E6C1E" w:rsidRDefault="001877EC">
      <w:pPr>
        <w:spacing w:before="0" w:after="120" w:line="240" w:lineRule="auto"/>
        <w:jc w:val="both"/>
      </w:pPr>
      <w:r>
        <w:t xml:space="preserve">Deve-se consignar, adicionalmente, que o </w:t>
      </w:r>
      <w:r>
        <w:t>presente procedimento de monitoramento constatou melhorias em aspectos associados ao mapeamento/melhoramento dos processos afetos à gestão documental; à inclusão de servidores na Comissão Permanente de Avaliação Documental (CPAD) de modo a incluir servidor</w:t>
      </w:r>
      <w:r>
        <w:t>es com formação acadêmica alinhada ao quanto indicado na Recomendação CNJ nº 37/2011; instituição de Grupo de Trabalho visando à realização de estudos e apresentação de proposta de atualização do Plano de Classificação das Informações e Documentos e tabela</w:t>
      </w:r>
      <w:r>
        <w:t xml:space="preserve"> de temporalidade afetos aos cartórios eleitorais, instituídos por meio da Resolução Administrativa TRE-BA nº 14, de 10 de dezembro de 2003, estabelecendo, ainda, procedimentos para a transferência de documentos para arquivamento intermediário e permanente</w:t>
      </w:r>
      <w:r>
        <w:t xml:space="preserve">, no Arquivo Central; atualização da composição do Comitê Gestor Regional do </w:t>
      </w:r>
      <w:proofErr w:type="spellStart"/>
      <w:proofErr w:type="gramStart"/>
      <w:r>
        <w:t>PJe</w:t>
      </w:r>
      <w:proofErr w:type="spellEnd"/>
      <w:proofErr w:type="gramEnd"/>
      <w:r>
        <w:t>, instituído por meio da Portaria da Presidência nº 365/2016 e alterações posteriores; e designação de grupo de trabalho composto, ao menos, por representantes da SGA, STI, SGP</w:t>
      </w:r>
      <w:r>
        <w:t xml:space="preserve">, Comissão Permanente de Avaliação Documental, Comissão de Segurança da Informação e Comitês Gestores do PAD e </w:t>
      </w:r>
      <w:proofErr w:type="spellStart"/>
      <w:r>
        <w:t>PJe</w:t>
      </w:r>
      <w:proofErr w:type="spellEnd"/>
      <w:r>
        <w:t xml:space="preserve">, com vistas a realizar estudos e apresentar propostas para: harmonização dos normativos internos afetos à gestão documental; aperfeiçoamento </w:t>
      </w:r>
      <w:r>
        <w:t xml:space="preserve">dos manuais de procedimentos do PAD e </w:t>
      </w:r>
      <w:proofErr w:type="spellStart"/>
      <w:r>
        <w:t>PJe</w:t>
      </w:r>
      <w:proofErr w:type="spellEnd"/>
      <w:r>
        <w:t xml:space="preserve"> e demais orientações esparsas, inclusive enquanto não atualizada a parametrização dos referidos sistemas; e instituição de rotinas afetas à classificação de documentos (físicos e digitais), conforme estabelecido na</w:t>
      </w:r>
      <w:r>
        <w:t xml:space="preserve"> LAI. </w:t>
      </w:r>
    </w:p>
    <w:p w:rsidR="002E6C1E" w:rsidRDefault="001877EC">
      <w:pPr>
        <w:spacing w:before="0" w:after="120" w:line="240" w:lineRule="auto"/>
        <w:jc w:val="both"/>
      </w:pPr>
      <w:r>
        <w:t xml:space="preserve">Não obstante registro de providências já implementadas pela gestão, subsistem pendentes de completa integralização encaminhamentos afetos a: realização de estudos pelo grupo de trabalho instituído pela </w:t>
      </w:r>
      <w:r>
        <w:rPr>
          <w:highlight w:val="white"/>
        </w:rPr>
        <w:t>Portaria da Presidência nº 456/2019,</w:t>
      </w:r>
      <w:r>
        <w:t xml:space="preserve"> visando ap</w:t>
      </w:r>
      <w:r>
        <w:t>resentar proposta de atualização do Plano de Classificação das Informações e Documentos e tabela de temporalidade afetos aos cartórios eleitorais, instituídos por meio da Resolução Administrativa TRE-BA nº 14, de 10 de dezembro de 2003, estabelecendo, aind</w:t>
      </w:r>
      <w:r>
        <w:t xml:space="preserve">a, procedimentos para a transferência de documentos para arquivamento intermediário e permanente, no Arquivo Central; realização de estudos e estabelecimento de rotina de levantamento periódico do custo de armazenagem de documentos do Tribunal, com vistas </w:t>
      </w:r>
      <w:r>
        <w:t xml:space="preserve">a instrumentalizar a tomada de decisão quanto à gestão documental; </w:t>
      </w:r>
      <w:r>
        <w:lastRenderedPageBreak/>
        <w:t xml:space="preserve">realização de estudos com a finalidade de indicação à Presidência das ações </w:t>
      </w:r>
      <w:r>
        <w:rPr>
          <w:highlight w:val="white"/>
        </w:rPr>
        <w:t>necessárias para parametrização dos referidos sistemas, viabilizando: adequação aos dispositivos da Lei nº 12.527</w:t>
      </w:r>
      <w:r>
        <w:rPr>
          <w:highlight w:val="white"/>
        </w:rPr>
        <w:t>/2011, inclusive no que tange ao registro dos níveis de sigilo (ultrassecreto, secreto e reservado) e controle do prazo da respectiva restrição de acesso; bem como controle de prazos para a guarda e destinação de documentos e processos, em face da tabela d</w:t>
      </w:r>
      <w:r>
        <w:rPr>
          <w:highlight w:val="white"/>
        </w:rPr>
        <w:t>e temporalidade vigente;</w:t>
      </w:r>
      <w:r>
        <w:t xml:space="preserve"> solicitação de parametrização pela Presidência, aos Comitês Gestores Nacionais do PJE e </w:t>
      </w:r>
      <w:proofErr w:type="gramStart"/>
      <w:r>
        <w:t>SEI,</w:t>
      </w:r>
      <w:proofErr w:type="gramEnd"/>
      <w:r>
        <w:t xml:space="preserve"> consoante previsão na LAI; estabelecimento pelos </w:t>
      </w:r>
      <w:r>
        <w:rPr>
          <w:highlight w:val="white"/>
        </w:rPr>
        <w:t xml:space="preserve">Comitês Gestores do PAD e </w:t>
      </w:r>
      <w:proofErr w:type="spellStart"/>
      <w:r>
        <w:rPr>
          <w:highlight w:val="white"/>
        </w:rPr>
        <w:t>PJe</w:t>
      </w:r>
      <w:proofErr w:type="spellEnd"/>
      <w:r>
        <w:rPr>
          <w:highlight w:val="white"/>
        </w:rPr>
        <w:t xml:space="preserve"> no Tribunal </w:t>
      </w:r>
      <w:r>
        <w:t xml:space="preserve">de rotinas </w:t>
      </w:r>
      <w:r>
        <w:rPr>
          <w:highlight w:val="white"/>
        </w:rPr>
        <w:t>e procedimentos operacionais relativ</w:t>
      </w:r>
      <w:r>
        <w:rPr>
          <w:highlight w:val="white"/>
        </w:rPr>
        <w:t>os às alterações processadas após parametrização dos sistemas, com a promoção da</w:t>
      </w:r>
      <w:r>
        <w:rPr>
          <w:sz w:val="23"/>
          <w:szCs w:val="23"/>
          <w:highlight w:val="white"/>
        </w:rPr>
        <w:t xml:space="preserve"> atualização dos manuais pertinentes; </w:t>
      </w:r>
      <w:r>
        <w:t>realização de estudos e apresentação de proposta para aperfeiçoamento de controles eletrônicos de acesso às áreas de armazenamento de docu</w:t>
      </w:r>
      <w:r>
        <w:t>mentos e processos do Arquivo Central do Tribunal; realização de estudos e apresentação de propostas pelo grupo de estudos, instituído por meio da P</w:t>
      </w:r>
      <w:r>
        <w:rPr>
          <w:highlight w:val="white"/>
        </w:rPr>
        <w:t>ortari</w:t>
      </w:r>
      <w:r>
        <w:t xml:space="preserve">a da Presidência nº 451/2019,  para: harmonização dos </w:t>
      </w:r>
      <w:proofErr w:type="gramStart"/>
      <w:r>
        <w:t>normativos</w:t>
      </w:r>
      <w:proofErr w:type="gramEnd"/>
      <w:r>
        <w:t xml:space="preserve"> internos afetos à gestão documental; </w:t>
      </w:r>
      <w:r>
        <w:t xml:space="preserve">aperfeiçoamento dos manuais de procedimentos do PAD e </w:t>
      </w:r>
      <w:proofErr w:type="spellStart"/>
      <w:r>
        <w:t>PJe</w:t>
      </w:r>
      <w:proofErr w:type="spellEnd"/>
      <w:r>
        <w:t xml:space="preserve">  e demais orientações esparsas, inclusive enquanto não atualizada a parametrização dos referidos sistemas; e instituição de   rotinas afetas à classificação de documentos (físicos e digitais), confo</w:t>
      </w:r>
      <w:r>
        <w:t>rme estabelecido na LAI; realização de estudos e apresentação de proposta para aperfeiçoamento da sistemática de armazenamento físico de documentos e processos pessoais de servidores, contemplando, inclusive, a previsão de implementação de controles eletrô</w:t>
      </w:r>
      <w:r>
        <w:t>nicos de acesso aos espaços reservados para tal finalidade; elaboração de plano de ação contemplando medidas voltadas ao aperfeiçoamento do processo de arquivamento de documentos pessoais de servidores, visando evitar duplicidade de armazenamento – ex.: de</w:t>
      </w:r>
      <w:r>
        <w:t xml:space="preserve">finição acerca de ferramenta informatizada mais adequada ao armazenamento de documentos digitais e migração de documentos digitais de sistemas de uso descontinuado para a referida ferramenta; documentos que deverão ser mantidos em suporte papel e digital, </w:t>
      </w:r>
      <w:r>
        <w:t xml:space="preserve">bem como daqueles que deverão permanecer exclusivamente em suporte digital; iniciativas destinadas a viabilizar a implementação das deliberações anteriores etc.. </w:t>
      </w:r>
    </w:p>
    <w:p w:rsidR="002E6C1E" w:rsidRDefault="001877EC">
      <w:pPr>
        <w:spacing w:before="0" w:after="120" w:line="240" w:lineRule="auto"/>
        <w:jc w:val="both"/>
      </w:pPr>
      <w:r>
        <w:t>Registramos que o presente diagnóstico de cumprimento de encaminhamentos de auditoria e as re</w:t>
      </w:r>
      <w:r>
        <w:t>spectivas propostas de encaminhamento formuladas, em seção delineada na sequência, representam, em última instância, a conclusão do trabalho desta Unidade para a Auditoria Coordenada do Conselho Nacional de Justiça (CNJ</w:t>
      </w:r>
      <w:proofErr w:type="gramStart"/>
      <w:r>
        <w:t>)</w:t>
      </w:r>
      <w:proofErr w:type="gramEnd"/>
      <w:r>
        <w:t>/Poder Judiciário – Gestão Documenta</w:t>
      </w:r>
      <w:r>
        <w:t xml:space="preserve">l - Exercício 2019, podendo as pendências identificadas voltarem a constituir objeto de exame de ações fiscalizatórias a serem contempladas em planejamentos futuros, conforme preceitua o </w:t>
      </w:r>
      <w:r>
        <w:rPr>
          <w:highlight w:val="white"/>
        </w:rPr>
        <w:t>§2º do art. 57</w:t>
      </w:r>
      <w:r>
        <w:t xml:space="preserve">, da Resolução CNJ nº </w:t>
      </w:r>
      <w:r>
        <w:rPr>
          <w:highlight w:val="white"/>
        </w:rPr>
        <w:t>309/2020</w:t>
      </w:r>
      <w:r>
        <w:t xml:space="preserve">, </w:t>
      </w:r>
      <w:r>
        <w:rPr>
          <w:i/>
        </w:rPr>
        <w:t>in verbis</w:t>
      </w:r>
      <w:r>
        <w:t>:</w:t>
      </w:r>
    </w:p>
    <w:p w:rsidR="002E6C1E" w:rsidRDefault="001877EC">
      <w:pPr>
        <w:spacing w:before="0" w:line="240" w:lineRule="auto"/>
        <w:ind w:left="2268"/>
        <w:jc w:val="both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Art. 57. O m</w:t>
      </w:r>
      <w:r>
        <w:rPr>
          <w:sz w:val="22"/>
          <w:szCs w:val="22"/>
          <w:highlight w:val="white"/>
        </w:rPr>
        <w:t>onitoramento das auditorias consiste no acompanhamento das providências adotadas pelo titular da unidade auditada em relação às recomendações constantes do relatório final, no qual deverá constar prazo para atendimento e comunicação das providências adotad</w:t>
      </w:r>
      <w:r>
        <w:rPr>
          <w:sz w:val="22"/>
          <w:szCs w:val="22"/>
          <w:highlight w:val="white"/>
        </w:rPr>
        <w:t>as.</w:t>
      </w:r>
    </w:p>
    <w:p w:rsidR="002E6C1E" w:rsidRDefault="001877EC">
      <w:pPr>
        <w:spacing w:before="0" w:line="240" w:lineRule="auto"/>
        <w:ind w:left="2268"/>
        <w:jc w:val="both"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>[...]</w:t>
      </w:r>
    </w:p>
    <w:p w:rsidR="002E6C1E" w:rsidRDefault="001877EC">
      <w:pPr>
        <w:widowControl w:val="0"/>
        <w:spacing w:before="0" w:after="120" w:line="240" w:lineRule="auto"/>
        <w:ind w:left="2268"/>
        <w:jc w:val="both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§ 2º As auditorias subsequentes verificarão se o titular da unidade auditada adotou as providências necessárias à </w:t>
      </w:r>
      <w:proofErr w:type="gramStart"/>
      <w:r>
        <w:rPr>
          <w:sz w:val="22"/>
          <w:szCs w:val="22"/>
          <w:highlight w:val="white"/>
        </w:rPr>
        <w:t>implementação</w:t>
      </w:r>
      <w:proofErr w:type="gramEnd"/>
      <w:r>
        <w:rPr>
          <w:sz w:val="22"/>
          <w:szCs w:val="22"/>
          <w:highlight w:val="white"/>
        </w:rPr>
        <w:t xml:space="preserve"> das recomendações consignadas nos relatórios de auditoria anteriores sobre o mesmo tema.</w:t>
      </w:r>
    </w:p>
    <w:p w:rsidR="002E6C1E" w:rsidRDefault="001877EC">
      <w:pPr>
        <w:spacing w:before="200" w:after="120" w:line="240" w:lineRule="auto"/>
        <w:jc w:val="both"/>
      </w:pPr>
      <w:r>
        <w:t>Assim, os encaminhamentos for</w:t>
      </w:r>
      <w:r>
        <w:t>mulados neste relatório têm por objetivo assegurar a manutenção, pela Presidência deste Regional, do acompanhamento das proposições ainda pendentes de completa integralização, diretamente ou por meio das demais unidades gestoras, bem como a</w:t>
      </w:r>
      <w:r>
        <w:rPr>
          <w:color w:val="38761D"/>
        </w:rPr>
        <w:t xml:space="preserve"> </w:t>
      </w:r>
      <w:r>
        <w:t>adoção de outra</w:t>
      </w:r>
      <w:r>
        <w:t xml:space="preserve">s medidas acessórias pertinentes, com vistas a garantir o efetivo saneamento de fragilidades anteriormente evidenciadas e respectivos riscos associados. </w:t>
      </w:r>
    </w:p>
    <w:tbl>
      <w:tblPr>
        <w:tblStyle w:val="a5"/>
        <w:tblW w:w="9581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81"/>
      </w:tblGrid>
      <w:tr w:rsidR="002E6C1E">
        <w:tc>
          <w:tcPr>
            <w:tcW w:w="9581" w:type="dxa"/>
            <w:shd w:val="clear" w:color="auto" w:fill="07376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6C1E" w:rsidRDefault="001877EC">
            <w:pPr>
              <w:pStyle w:val="Ttulo1"/>
              <w:widowControl w:val="0"/>
              <w:spacing w:before="200" w:after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u3ms35ikg1km" w:colFirst="0" w:colLast="0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PROPOSTAS DE ENCAMINHAMENTO</w:t>
            </w:r>
          </w:p>
        </w:tc>
      </w:tr>
    </w:tbl>
    <w:p w:rsidR="002E6C1E" w:rsidRDefault="001877EC">
      <w:pPr>
        <w:spacing w:before="200" w:after="120" w:line="240" w:lineRule="auto"/>
        <w:jc w:val="both"/>
        <w:rPr>
          <w:highlight w:val="white"/>
        </w:rPr>
      </w:pPr>
      <w:r>
        <w:t>Ante o exposto, considerados os encaminhamentos de auditoria ainda pen</w:t>
      </w:r>
      <w:r>
        <w:t>dentes de integralização e com fundamento nas evidências consignadas na seção 2 do presente relatório, submete-se à apreciação superior, visando posterior apreciação pela Presidência deste Regional, as seguintes propostas de encaminhamento:</w:t>
      </w:r>
    </w:p>
    <w:p w:rsidR="002E6C1E" w:rsidRDefault="001877EC">
      <w:pPr>
        <w:spacing w:before="200" w:after="120" w:line="240" w:lineRule="auto"/>
        <w:jc w:val="both"/>
        <w:rPr>
          <w:b/>
          <w:highlight w:val="white"/>
        </w:rPr>
      </w:pPr>
      <w:r>
        <w:t xml:space="preserve">Declarar a </w:t>
      </w:r>
      <w:proofErr w:type="gramStart"/>
      <w:r>
        <w:t>implementação</w:t>
      </w:r>
      <w:proofErr w:type="gramEnd"/>
      <w:r>
        <w:t xml:space="preserve"> dos encaminhamentos: 5.1.1, </w:t>
      </w:r>
      <w:r>
        <w:rPr>
          <w:highlight w:val="white"/>
        </w:rPr>
        <w:t>5.1.2, 5.1.3, 5.1.9 e 5.1.11</w:t>
      </w:r>
      <w:r>
        <w:rPr>
          <w:b/>
          <w:highlight w:val="white"/>
        </w:rPr>
        <w:t>.</w:t>
      </w:r>
    </w:p>
    <w:p w:rsidR="002E6C1E" w:rsidRDefault="001877EC">
      <w:pPr>
        <w:spacing w:before="200" w:after="120" w:line="240" w:lineRule="auto"/>
        <w:jc w:val="both"/>
        <w:rPr>
          <w:highlight w:val="white"/>
        </w:rPr>
      </w:pPr>
      <w:bookmarkStart w:id="9" w:name="_1t3h5sf" w:colFirst="0" w:colLast="0"/>
      <w:bookmarkEnd w:id="9"/>
      <w:r>
        <w:rPr>
          <w:highlight w:val="white"/>
        </w:rPr>
        <w:t xml:space="preserve">Reiterar a necessidade de acompanhamento, até completa integralização, das seguintes proposições ainda pendentes de adimplemento: 5.1.4, 5.1.5, 5.1.6, 5.1.7, 5.1.8, 5.1.10, </w:t>
      </w:r>
      <w:r>
        <w:rPr>
          <w:highlight w:val="white"/>
        </w:rPr>
        <w:t>5.1.12, 5.1.13 e 5.1.14</w:t>
      </w:r>
      <w:r>
        <w:rPr>
          <w:b/>
          <w:highlight w:val="white"/>
        </w:rPr>
        <w:t>.</w:t>
      </w:r>
    </w:p>
    <w:p w:rsidR="002E6C1E" w:rsidRDefault="001877EC">
      <w:pPr>
        <w:spacing w:before="200" w:after="120" w:line="240" w:lineRule="auto"/>
        <w:jc w:val="center"/>
      </w:pPr>
      <w:r>
        <w:t xml:space="preserve">Salvador - BA, </w:t>
      </w:r>
      <w:r>
        <w:rPr>
          <w:highlight w:val="white"/>
        </w:rPr>
        <w:t xml:space="preserve">22 de junho </w:t>
      </w:r>
      <w:r>
        <w:t>de 2021.</w:t>
      </w:r>
    </w:p>
    <w:tbl>
      <w:tblPr>
        <w:tblStyle w:val="a6"/>
        <w:tblW w:w="946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732"/>
        <w:gridCol w:w="4732"/>
      </w:tblGrid>
      <w:tr w:rsidR="002E6C1E">
        <w:tc>
          <w:tcPr>
            <w:tcW w:w="4732" w:type="dxa"/>
            <w:vAlign w:val="center"/>
          </w:tcPr>
          <w:p w:rsidR="002E6C1E" w:rsidRDefault="002E6C1E">
            <w:pPr>
              <w:spacing w:before="0" w:line="240" w:lineRule="auto"/>
              <w:jc w:val="center"/>
              <w:rPr>
                <w:smallCaps/>
                <w:sz w:val="24"/>
                <w:szCs w:val="24"/>
              </w:rPr>
            </w:pPr>
          </w:p>
          <w:p w:rsidR="002E6C1E" w:rsidRDefault="001877EC">
            <w:pPr>
              <w:spacing w:before="0" w:line="240" w:lineRule="auto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RICARDO NASCIMENTO CANTHARINO</w:t>
            </w:r>
          </w:p>
          <w:p w:rsidR="002E6C1E" w:rsidRDefault="001877EC">
            <w:pPr>
              <w:spacing w:before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Auditor Interno e Chefe da SEAGO </w:t>
            </w:r>
          </w:p>
        </w:tc>
        <w:tc>
          <w:tcPr>
            <w:tcW w:w="4732" w:type="dxa"/>
            <w:vAlign w:val="center"/>
          </w:tcPr>
          <w:p w:rsidR="002E6C1E" w:rsidRDefault="002E6C1E">
            <w:pPr>
              <w:spacing w:before="0" w:line="240" w:lineRule="auto"/>
              <w:jc w:val="center"/>
              <w:rPr>
                <w:smallCaps/>
                <w:sz w:val="24"/>
                <w:szCs w:val="24"/>
              </w:rPr>
            </w:pPr>
          </w:p>
          <w:p w:rsidR="002E6C1E" w:rsidRDefault="001877EC">
            <w:pPr>
              <w:spacing w:before="0" w:line="240" w:lineRule="auto"/>
              <w:ind w:left="-196" w:right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ARLETE ALVES RIBEIRO DE CARVALHO</w:t>
            </w:r>
          </w:p>
          <w:p w:rsidR="002E6C1E" w:rsidRDefault="001877EC">
            <w:pPr>
              <w:spacing w:before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Auditora Interna </w:t>
            </w:r>
          </w:p>
        </w:tc>
      </w:tr>
      <w:tr w:rsidR="002E6C1E">
        <w:tc>
          <w:tcPr>
            <w:tcW w:w="4732" w:type="dxa"/>
            <w:vAlign w:val="center"/>
          </w:tcPr>
          <w:p w:rsidR="002E6C1E" w:rsidRDefault="002E6C1E">
            <w:pPr>
              <w:spacing w:before="0" w:line="240" w:lineRule="auto"/>
              <w:jc w:val="center"/>
              <w:rPr>
                <w:smallCaps/>
                <w:sz w:val="24"/>
                <w:szCs w:val="24"/>
              </w:rPr>
            </w:pPr>
          </w:p>
          <w:p w:rsidR="002E6C1E" w:rsidRDefault="002E6C1E">
            <w:pPr>
              <w:spacing w:before="0" w:line="240" w:lineRule="auto"/>
              <w:jc w:val="center"/>
              <w:rPr>
                <w:smallCaps/>
                <w:sz w:val="24"/>
                <w:szCs w:val="24"/>
              </w:rPr>
            </w:pPr>
          </w:p>
          <w:p w:rsidR="002E6C1E" w:rsidRDefault="001877EC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ANDRÉA BARBOSA DE ARGÔLO</w:t>
            </w:r>
          </w:p>
          <w:p w:rsidR="002E6C1E" w:rsidRDefault="001877EC">
            <w:pPr>
              <w:spacing w:before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Auditora Interna </w:t>
            </w:r>
          </w:p>
        </w:tc>
        <w:tc>
          <w:tcPr>
            <w:tcW w:w="4732" w:type="dxa"/>
            <w:vAlign w:val="center"/>
          </w:tcPr>
          <w:p w:rsidR="002E6C1E" w:rsidRDefault="002E6C1E">
            <w:pPr>
              <w:spacing w:before="0" w:line="240" w:lineRule="auto"/>
              <w:jc w:val="center"/>
              <w:rPr>
                <w:smallCaps/>
                <w:sz w:val="24"/>
                <w:szCs w:val="24"/>
              </w:rPr>
            </w:pPr>
          </w:p>
          <w:p w:rsidR="002E6C1E" w:rsidRDefault="002E6C1E">
            <w:pPr>
              <w:spacing w:before="0" w:line="240" w:lineRule="auto"/>
              <w:jc w:val="center"/>
              <w:rPr>
                <w:smallCaps/>
                <w:sz w:val="24"/>
                <w:szCs w:val="24"/>
              </w:rPr>
            </w:pPr>
          </w:p>
          <w:p w:rsidR="002E6C1E" w:rsidRDefault="001877EC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GERALDO MAJELLA NUNES DE MOURA</w:t>
            </w:r>
            <w:proofErr w:type="gramStart"/>
            <w:r>
              <w:rPr>
                <w:sz w:val="24"/>
                <w:szCs w:val="24"/>
              </w:rPr>
              <w:t xml:space="preserve">  </w:t>
            </w:r>
          </w:p>
          <w:p w:rsidR="002E6C1E" w:rsidRDefault="001877EC">
            <w:pPr>
              <w:spacing w:before="0" w:line="240" w:lineRule="auto"/>
              <w:jc w:val="center"/>
              <w:rPr>
                <w:i/>
                <w:sz w:val="24"/>
                <w:szCs w:val="24"/>
              </w:rPr>
            </w:pPr>
            <w:proofErr w:type="gramEnd"/>
            <w:r>
              <w:rPr>
                <w:i/>
                <w:sz w:val="24"/>
                <w:szCs w:val="24"/>
              </w:rPr>
              <w:t xml:space="preserve">Auditor Interno </w:t>
            </w:r>
          </w:p>
        </w:tc>
      </w:tr>
      <w:tr w:rsidR="002E6C1E">
        <w:tc>
          <w:tcPr>
            <w:tcW w:w="4732" w:type="dxa"/>
            <w:vAlign w:val="center"/>
          </w:tcPr>
          <w:p w:rsidR="002E6C1E" w:rsidRDefault="002E6C1E">
            <w:pPr>
              <w:spacing w:before="0" w:line="240" w:lineRule="auto"/>
              <w:jc w:val="center"/>
              <w:rPr>
                <w:smallCaps/>
                <w:sz w:val="24"/>
                <w:szCs w:val="24"/>
              </w:rPr>
            </w:pPr>
          </w:p>
          <w:p w:rsidR="002E6C1E" w:rsidRDefault="001877EC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MARIANA ALMEIDA MASCARENHAS</w:t>
            </w:r>
          </w:p>
          <w:p w:rsidR="002E6C1E" w:rsidRDefault="001877EC">
            <w:pPr>
              <w:spacing w:before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Auditora Interna </w:t>
            </w:r>
          </w:p>
        </w:tc>
        <w:tc>
          <w:tcPr>
            <w:tcW w:w="4732" w:type="dxa"/>
            <w:vAlign w:val="center"/>
          </w:tcPr>
          <w:p w:rsidR="002E6C1E" w:rsidRDefault="002E6C1E">
            <w:pPr>
              <w:spacing w:before="0" w:line="240" w:lineRule="auto"/>
              <w:jc w:val="center"/>
              <w:rPr>
                <w:smallCaps/>
                <w:sz w:val="24"/>
                <w:szCs w:val="24"/>
              </w:rPr>
            </w:pPr>
          </w:p>
          <w:p w:rsidR="002E6C1E" w:rsidRDefault="001877EC">
            <w:pPr>
              <w:spacing w:before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2E6C1E">
        <w:tc>
          <w:tcPr>
            <w:tcW w:w="9464" w:type="dxa"/>
            <w:gridSpan w:val="2"/>
            <w:vAlign w:val="center"/>
          </w:tcPr>
          <w:p w:rsidR="002E6C1E" w:rsidRDefault="002E6C1E">
            <w:pPr>
              <w:spacing w:before="120" w:line="240" w:lineRule="auto"/>
              <w:rPr>
                <w:smallCaps/>
                <w:sz w:val="24"/>
                <w:szCs w:val="24"/>
              </w:rPr>
            </w:pPr>
          </w:p>
          <w:p w:rsidR="002E6C1E" w:rsidRDefault="001877EC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CATIUSCIA DANTAS ABREU </w:t>
            </w:r>
          </w:p>
          <w:p w:rsidR="002E6C1E" w:rsidRDefault="001877EC">
            <w:pPr>
              <w:spacing w:before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Supervisora dos trabalhos e Coordenadora da COAUD</w:t>
            </w:r>
          </w:p>
        </w:tc>
      </w:tr>
    </w:tbl>
    <w:p w:rsidR="002E6C1E" w:rsidRDefault="002E6C1E"/>
    <w:sectPr w:rsidR="002E6C1E">
      <w:type w:val="continuous"/>
      <w:pgSz w:w="11906" w:h="16838"/>
      <w:pgMar w:top="2455" w:right="1191" w:bottom="1134" w:left="1134" w:header="1134" w:footer="5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877EC">
      <w:pPr>
        <w:spacing w:before="0" w:line="240" w:lineRule="auto"/>
      </w:pPr>
      <w:r>
        <w:separator/>
      </w:r>
    </w:p>
  </w:endnote>
  <w:endnote w:type="continuationSeparator" w:id="0">
    <w:p w:rsidR="00000000" w:rsidRDefault="001877E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1E" w:rsidRDefault="00187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0" w:line="240" w:lineRule="auto"/>
      <w:jc w:val="center"/>
      <w:rPr>
        <w:rFonts w:ascii="Liberation Serif" w:eastAsia="Liberation Serif" w:hAnsi="Liberation Serif" w:cs="Liberation Serif"/>
        <w:color w:val="000000"/>
      </w:rPr>
    </w:pPr>
    <w:r>
      <w:rPr>
        <w:rFonts w:ascii="Liberation Serif" w:eastAsia="Liberation Serif" w:hAnsi="Liberation Serif" w:cs="Liberation Serif"/>
        <w:color w:val="000000"/>
      </w:rPr>
      <w:t>_______________________________________________________________________</w:t>
    </w:r>
  </w:p>
  <w:p w:rsidR="002E6C1E" w:rsidRDefault="00187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0" w:line="240" w:lineRule="auto"/>
      <w:jc w:val="right"/>
      <w:rPr>
        <w:rFonts w:ascii="Liberation Serif" w:eastAsia="Liberation Serif" w:hAnsi="Liberation Serif" w:cs="Liberation Serif"/>
        <w:color w:val="000000"/>
      </w:rPr>
    </w:pPr>
    <w:r>
      <w:rPr>
        <w:rFonts w:ascii="Liberation Serif" w:eastAsia="Liberation Serif" w:hAnsi="Liberation Serif" w:cs="Liberation Serif"/>
        <w:color w:val="000000"/>
      </w:rPr>
      <w:fldChar w:fldCharType="begin"/>
    </w:r>
    <w:r>
      <w:rPr>
        <w:rFonts w:ascii="Liberation Serif" w:eastAsia="Liberation Serif" w:hAnsi="Liberation Serif" w:cs="Liberation Serif"/>
        <w:color w:val="000000"/>
      </w:rPr>
      <w:instrText>PAGE</w:instrText>
    </w:r>
    <w:r w:rsidR="00845A58">
      <w:rPr>
        <w:rFonts w:ascii="Liberation Serif" w:eastAsia="Liberation Serif" w:hAnsi="Liberation Serif" w:cs="Liberation Serif"/>
        <w:color w:val="000000"/>
      </w:rPr>
      <w:fldChar w:fldCharType="separate"/>
    </w:r>
    <w:r>
      <w:rPr>
        <w:rFonts w:ascii="Liberation Serif" w:eastAsia="Liberation Serif" w:hAnsi="Liberation Serif" w:cs="Liberation Serif"/>
        <w:noProof/>
        <w:color w:val="000000"/>
      </w:rPr>
      <w:t>27</w:t>
    </w:r>
    <w:r>
      <w:rPr>
        <w:rFonts w:ascii="Liberation Serif" w:eastAsia="Liberation Serif" w:hAnsi="Liberation Serif" w:cs="Liberation Serif"/>
        <w:color w:val="000000"/>
      </w:rPr>
      <w:fldChar w:fldCharType="end"/>
    </w:r>
    <w:r>
      <w:rPr>
        <w:noProof/>
      </w:rPr>
      <w:drawing>
        <wp:anchor distT="0" distB="0" distL="0" distR="0" simplePos="0" relativeHeight="251660288" behindDoc="0" locked="0" layoutInCell="1" hidden="0" allowOverlap="1">
          <wp:simplePos x="0" y="0"/>
          <wp:positionH relativeFrom="column">
            <wp:posOffset>76200</wp:posOffset>
          </wp:positionH>
          <wp:positionV relativeFrom="paragraph">
            <wp:posOffset>635</wp:posOffset>
          </wp:positionV>
          <wp:extent cx="751840" cy="354330"/>
          <wp:effectExtent l="0" t="0" r="0" b="0"/>
          <wp:wrapSquare wrapText="bothSides" distT="0" distB="0" distL="0" distR="0"/>
          <wp:docPr id="5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1840" cy="354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1E" w:rsidRDefault="002E6C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877EC">
      <w:pPr>
        <w:spacing w:before="0" w:line="240" w:lineRule="auto"/>
      </w:pPr>
      <w:r>
        <w:separator/>
      </w:r>
    </w:p>
  </w:footnote>
  <w:footnote w:type="continuationSeparator" w:id="0">
    <w:p w:rsidR="00000000" w:rsidRDefault="001877E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1E" w:rsidRDefault="001877EC">
    <w:pPr>
      <w:pBdr>
        <w:top w:val="nil"/>
        <w:left w:val="nil"/>
        <w:bottom w:val="nil"/>
        <w:right w:val="nil"/>
        <w:between w:val="nil"/>
      </w:pBdr>
      <w:spacing w:before="0"/>
      <w:jc w:val="center"/>
      <w:rPr>
        <w:color w:val="000000"/>
      </w:rPr>
    </w:pPr>
    <w:r>
      <w:rPr>
        <w:b/>
        <w:color w:val="000000"/>
        <w:sz w:val="30"/>
        <w:szCs w:val="30"/>
      </w:rPr>
      <w:t>TRIBUNAL REGIONAL ELEITORAL DA BAHIA</w:t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56514</wp:posOffset>
          </wp:positionH>
          <wp:positionV relativeFrom="paragraph">
            <wp:posOffset>-50799</wp:posOffset>
          </wp:positionV>
          <wp:extent cx="702310" cy="686435"/>
          <wp:effectExtent l="0" t="0" r="0" b="0"/>
          <wp:wrapSquare wrapText="bothSides" distT="0" distB="0" distL="0" distR="0"/>
          <wp:docPr id="7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2310" cy="6864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E6C1E" w:rsidRDefault="001877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0"/>
      <w:jc w:val="center"/>
      <w:rPr>
        <w:rFonts w:ascii="Liberation Serif" w:eastAsia="Liberation Serif" w:hAnsi="Liberation Serif" w:cs="Liberation Serif"/>
        <w:color w:val="000000"/>
      </w:rPr>
    </w:pPr>
    <w:r>
      <w:rPr>
        <w:color w:val="000000"/>
        <w:sz w:val="26"/>
        <w:szCs w:val="26"/>
      </w:rPr>
      <w:t>COORDENADORIA DE AUDITORIA INTERNA 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1E" w:rsidRDefault="001877EC">
    <w:r>
      <w:rPr>
        <w:noProof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2838450</wp:posOffset>
          </wp:positionH>
          <wp:positionV relativeFrom="paragraph">
            <wp:posOffset>-713739</wp:posOffset>
          </wp:positionV>
          <wp:extent cx="1424305" cy="1391285"/>
          <wp:effectExtent l="0" t="0" r="0" b="0"/>
          <wp:wrapSquare wrapText="bothSides" distT="0" distB="0" distL="0" distR="0"/>
          <wp:docPr id="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4305" cy="13912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E6C1E"/>
    <w:rsid w:val="001877EC"/>
    <w:rsid w:val="002E6C1E"/>
    <w:rsid w:val="0084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0" w:line="240" w:lineRule="auto"/>
      <w:outlineLvl w:val="0"/>
    </w:pPr>
    <w:rPr>
      <w:rFonts w:ascii="Arial" w:eastAsia="Arial" w:hAnsi="Arial" w:cs="Arial"/>
      <w:b/>
      <w:i/>
      <w:color w:val="FFFFF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0" w:line="240" w:lineRule="auto"/>
      <w:outlineLvl w:val="1"/>
    </w:pPr>
    <w:rPr>
      <w:b/>
      <w:i/>
      <w:color w:val="FFFFFF"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pBdr>
        <w:top w:val="single" w:sz="8" w:space="2" w:color="000000"/>
        <w:left w:val="single" w:sz="8" w:space="2" w:color="000000"/>
        <w:bottom w:val="single" w:sz="8" w:space="2" w:color="000000"/>
        <w:right w:val="single" w:sz="8" w:space="2" w:color="000000"/>
      </w:pBdr>
      <w:shd w:val="clear" w:color="auto" w:fill="073763"/>
      <w:spacing w:before="0" w:line="240" w:lineRule="auto"/>
      <w:jc w:val="both"/>
    </w:pPr>
    <w:rPr>
      <w:rFonts w:ascii="Arial" w:eastAsia="Arial" w:hAnsi="Arial" w:cs="Arial"/>
      <w:b/>
      <w:i/>
      <w:color w:val="FFFFFF"/>
      <w:sz w:val="28"/>
      <w:szCs w:val="2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pacing w:before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0" w:line="240" w:lineRule="auto"/>
      <w:outlineLvl w:val="0"/>
    </w:pPr>
    <w:rPr>
      <w:rFonts w:ascii="Arial" w:eastAsia="Arial" w:hAnsi="Arial" w:cs="Arial"/>
      <w:b/>
      <w:i/>
      <w:color w:val="FFFFF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0" w:line="240" w:lineRule="auto"/>
      <w:outlineLvl w:val="1"/>
    </w:pPr>
    <w:rPr>
      <w:b/>
      <w:i/>
      <w:color w:val="FFFFFF"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pBdr>
        <w:top w:val="single" w:sz="8" w:space="2" w:color="000000"/>
        <w:left w:val="single" w:sz="8" w:space="2" w:color="000000"/>
        <w:bottom w:val="single" w:sz="8" w:space="2" w:color="000000"/>
        <w:right w:val="single" w:sz="8" w:space="2" w:color="000000"/>
      </w:pBdr>
      <w:shd w:val="clear" w:color="auto" w:fill="073763"/>
      <w:spacing w:before="0" w:line="240" w:lineRule="auto"/>
      <w:jc w:val="both"/>
    </w:pPr>
    <w:rPr>
      <w:rFonts w:ascii="Arial" w:eastAsia="Arial" w:hAnsi="Arial" w:cs="Arial"/>
      <w:b/>
      <w:i/>
      <w:color w:val="FFFFFF"/>
      <w:sz w:val="28"/>
      <w:szCs w:val="2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hyperlink" Target="https://www.youtube.com/watch?v=FLxxPlsIQS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drive.google.com/file/d/1yOrlf8MPOTO0IyYilNLijcR5qH3scdE7/view?usp=sharin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file/d/1gUUMLrjgzfwO8zQu5bTYJBsM9ZCHYGs6/view?usp=sharin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drive.google.com/file/d/1j-e9vzn8_dcmINicFjnbYGaeKwR5U4YW/view?usp=sharin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11043</Words>
  <Characters>59633</Characters>
  <Application>Microsoft Office Word</Application>
  <DocSecurity>0</DocSecurity>
  <Lines>496</Lines>
  <Paragraphs>141</Paragraphs>
  <ScaleCrop>false</ScaleCrop>
  <Company>Justiça Eleitoral</Company>
  <LinksUpToDate>false</LinksUpToDate>
  <CharactersWithSpaces>70535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Geraldo Majella Nunes de Moura</cp:lastModifiedBy>
  <cp:revision>3</cp:revision>
  <dcterms:created xsi:type="dcterms:W3CDTF">2021-06-30T20:05:00Z</dcterms:created>
  <dcterms:modified xsi:type="dcterms:W3CDTF">2021-06-30T20:06:00Z</dcterms:modified>
</cp:coreProperties>
</file>